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998" w:tblpY="711"/>
        <w:tblW w:w="22959" w:type="dxa"/>
        <w:tblLayout w:type="fixed"/>
        <w:tblLook w:val="04A0" w:firstRow="1" w:lastRow="0" w:firstColumn="1" w:lastColumn="0" w:noHBand="0" w:noVBand="1"/>
      </w:tblPr>
      <w:tblGrid>
        <w:gridCol w:w="8490"/>
        <w:gridCol w:w="709"/>
        <w:gridCol w:w="709"/>
        <w:gridCol w:w="709"/>
        <w:gridCol w:w="708"/>
        <w:gridCol w:w="8789"/>
        <w:gridCol w:w="709"/>
        <w:gridCol w:w="708"/>
        <w:gridCol w:w="709"/>
        <w:gridCol w:w="719"/>
      </w:tblGrid>
      <w:tr w:rsidR="004D1B57" w14:paraId="7104E8BA" w14:textId="77777777" w:rsidTr="001D5407">
        <w:trPr>
          <w:trHeight w:val="963"/>
        </w:trPr>
        <w:tc>
          <w:tcPr>
            <w:tcW w:w="11325" w:type="dxa"/>
            <w:gridSpan w:val="5"/>
            <w:tcBorders>
              <w:top w:val="single" w:sz="12" w:space="0" w:color="auto"/>
              <w:left w:val="single" w:sz="12" w:space="0" w:color="auto"/>
              <w:bottom w:val="single" w:sz="12" w:space="0" w:color="auto"/>
            </w:tcBorders>
          </w:tcPr>
          <w:p w14:paraId="396CFA30" w14:textId="3A169D80" w:rsidR="004D1B57" w:rsidRDefault="004D1B57" w:rsidP="001D5407">
            <w:pPr>
              <w:rPr>
                <w:rFonts w:ascii="Arial" w:hAnsi="Arial" w:cs="Arial"/>
                <w:b/>
                <w:bCs/>
              </w:rPr>
            </w:pPr>
            <w:r>
              <w:rPr>
                <w:rFonts w:ascii="Arial" w:hAnsi="Arial" w:cs="Arial"/>
                <w:b/>
                <w:bCs/>
              </w:rPr>
              <w:softHyphen/>
            </w:r>
            <w:r>
              <w:rPr>
                <w:rFonts w:ascii="Arial" w:hAnsi="Arial" w:cs="Arial"/>
                <w:b/>
                <w:bCs/>
              </w:rPr>
              <w:softHyphen/>
              <w:t>School profile</w:t>
            </w:r>
          </w:p>
          <w:p w14:paraId="5D4B62D4" w14:textId="364B786A" w:rsidR="00B37FDC" w:rsidRPr="001D5407" w:rsidRDefault="00B37FDC" w:rsidP="001D5407">
            <w:pPr>
              <w:pStyle w:val="NormalWeb"/>
              <w:shd w:val="clear" w:color="auto" w:fill="FFFFFF"/>
              <w:spacing w:before="0" w:beforeAutospacing="0" w:after="150" w:afterAutospacing="0"/>
              <w:rPr>
                <w:rFonts w:ascii="Arial" w:hAnsi="Arial" w:cs="Arial"/>
                <w:color w:val="333333"/>
                <w:sz w:val="16"/>
                <w:szCs w:val="16"/>
              </w:rPr>
            </w:pPr>
            <w:r w:rsidRPr="001D5407">
              <w:rPr>
                <w:rFonts w:ascii="Arial" w:hAnsi="Arial" w:cs="Arial"/>
                <w:color w:val="333333"/>
                <w:sz w:val="16"/>
                <w:szCs w:val="16"/>
              </w:rPr>
              <w:t>Hambledon State School is situated just off Mill Road, Edmonton. Originally established as Black Fellow Creek Provisional School in 1887 with an enrolment of 23 students, the school was relocated to its present location and renamed Hambledon State School in 1910. Predominantly a Sugar Cane growing area, Edmonton was a rural community with a Sugar Mill, just south of Cairns. </w:t>
            </w:r>
          </w:p>
          <w:p w14:paraId="707B108C" w14:textId="7E34F418" w:rsidR="004D1B57" w:rsidRPr="001D5407" w:rsidRDefault="00B37FDC" w:rsidP="001D5407">
            <w:pPr>
              <w:pStyle w:val="NormalWeb"/>
              <w:shd w:val="clear" w:color="auto" w:fill="FFFFFF"/>
              <w:spacing w:before="0" w:beforeAutospacing="0" w:after="150" w:afterAutospacing="0"/>
              <w:rPr>
                <w:rFonts w:ascii="Open Sans" w:hAnsi="Open Sans" w:cs="Open Sans"/>
                <w:color w:val="333333"/>
                <w:sz w:val="21"/>
                <w:szCs w:val="21"/>
              </w:rPr>
            </w:pPr>
            <w:r w:rsidRPr="001D5407">
              <w:rPr>
                <w:rFonts w:ascii="Arial" w:hAnsi="Arial" w:cs="Arial"/>
                <w:color w:val="333333"/>
                <w:sz w:val="16"/>
                <w:szCs w:val="16"/>
              </w:rPr>
              <w:t>Today Edmonton, which still holds its sense of community, is joined to Cairns by many housing estates. Hambledon State School is now referred to as one of the Cairns Southern Corridor Schools but, through its long history in the area, still prides itself on traditional values and quality education. As the oldest school in the area and with an enrolment of just </w:t>
            </w:r>
            <w:r w:rsidRPr="001D5407">
              <w:rPr>
                <w:rFonts w:ascii="Arial" w:hAnsi="Arial" w:cs="Arial"/>
                <w:color w:val="333333"/>
                <w:sz w:val="16"/>
                <w:szCs w:val="16"/>
              </w:rPr>
              <w:t>over</w:t>
            </w:r>
            <w:r w:rsidRPr="001D5407">
              <w:rPr>
                <w:rFonts w:ascii="Arial" w:hAnsi="Arial" w:cs="Arial"/>
                <w:color w:val="333333"/>
                <w:sz w:val="16"/>
                <w:szCs w:val="16"/>
              </w:rPr>
              <w:t> </w:t>
            </w:r>
            <w:r w:rsidRPr="001D5407">
              <w:rPr>
                <w:rFonts w:ascii="Arial" w:hAnsi="Arial" w:cs="Arial"/>
                <w:color w:val="333333"/>
                <w:sz w:val="16"/>
                <w:szCs w:val="16"/>
              </w:rPr>
              <w:t>430</w:t>
            </w:r>
            <w:r w:rsidRPr="001D5407">
              <w:rPr>
                <w:rFonts w:ascii="Arial" w:hAnsi="Arial" w:cs="Arial"/>
                <w:color w:val="333333"/>
                <w:sz w:val="16"/>
                <w:szCs w:val="16"/>
              </w:rPr>
              <w:t> students in 20</w:t>
            </w:r>
            <w:r w:rsidRPr="001D5407">
              <w:rPr>
                <w:rFonts w:ascii="Arial" w:hAnsi="Arial" w:cs="Arial"/>
                <w:color w:val="333333"/>
                <w:sz w:val="16"/>
                <w:szCs w:val="16"/>
              </w:rPr>
              <w:t>24</w:t>
            </w:r>
            <w:r w:rsidRPr="001D5407">
              <w:rPr>
                <w:rFonts w:ascii="Arial" w:hAnsi="Arial" w:cs="Arial"/>
                <w:color w:val="333333"/>
                <w:sz w:val="16"/>
                <w:szCs w:val="16"/>
              </w:rPr>
              <w:t>, Hambledon State School continues to be a popular choice for many parent</w:t>
            </w:r>
            <w:r w:rsidR="001D5407" w:rsidRPr="001D5407">
              <w:rPr>
                <w:rFonts w:ascii="Arial" w:hAnsi="Arial" w:cs="Arial"/>
                <w:color w:val="333333"/>
                <w:sz w:val="16"/>
                <w:szCs w:val="16"/>
              </w:rPr>
              <w:t>s.</w:t>
            </w:r>
          </w:p>
        </w:tc>
        <w:tc>
          <w:tcPr>
            <w:tcW w:w="11634" w:type="dxa"/>
            <w:gridSpan w:val="5"/>
            <w:tcBorders>
              <w:top w:val="single" w:sz="12" w:space="0" w:color="auto"/>
              <w:bottom w:val="single" w:sz="12" w:space="0" w:color="auto"/>
              <w:right w:val="single" w:sz="12" w:space="0" w:color="auto"/>
            </w:tcBorders>
          </w:tcPr>
          <w:p w14:paraId="18FA44FC" w14:textId="2CE5CE3F" w:rsidR="004D1B57" w:rsidRDefault="004D1B57" w:rsidP="001D5407">
            <w:pPr>
              <w:rPr>
                <w:rFonts w:ascii="Arial" w:hAnsi="Arial" w:cs="Arial"/>
                <w:b/>
                <w:bCs/>
              </w:rPr>
            </w:pPr>
            <w:r w:rsidRPr="00ED502A">
              <w:rPr>
                <w:rFonts w:ascii="Arial" w:hAnsi="Arial" w:cs="Arial"/>
                <w:b/>
                <w:bCs/>
              </w:rPr>
              <w:t>Vision</w:t>
            </w:r>
            <w:r>
              <w:rPr>
                <w:rFonts w:ascii="Arial" w:hAnsi="Arial" w:cs="Arial"/>
                <w:b/>
                <w:bCs/>
              </w:rPr>
              <w:t xml:space="preserve"> and v</w:t>
            </w:r>
            <w:r w:rsidRPr="00ED502A">
              <w:rPr>
                <w:rFonts w:ascii="Arial" w:hAnsi="Arial" w:cs="Arial"/>
                <w:b/>
                <w:bCs/>
              </w:rPr>
              <w:t>alues</w:t>
            </w:r>
          </w:p>
          <w:p w14:paraId="2549B0AF" w14:textId="57FD0A0D" w:rsidR="00B37FDC" w:rsidRPr="00B37FDC" w:rsidRDefault="00B37FDC" w:rsidP="001D5407">
            <w:pPr>
              <w:autoSpaceDE w:val="0"/>
              <w:autoSpaceDN w:val="0"/>
              <w:adjustRightInd w:val="0"/>
              <w:spacing w:line="276" w:lineRule="auto"/>
              <w:rPr>
                <w:rFonts w:ascii="Footlight MT Light" w:hAnsi="Footlight MT Light" w:cstheme="majorHAnsi"/>
                <w:color w:val="000000" w:themeColor="text1"/>
                <w:sz w:val="18"/>
                <w:szCs w:val="20"/>
              </w:rPr>
            </w:pPr>
            <w:r w:rsidRPr="001D5B74">
              <w:rPr>
                <w:rFonts w:ascii="Footlight MT Light" w:hAnsi="Footlight MT Light" w:cstheme="majorHAnsi"/>
                <w:color w:val="000000" w:themeColor="text1"/>
                <w:sz w:val="18"/>
                <w:szCs w:val="20"/>
              </w:rPr>
              <w:t>To provide high quality education for all students, in a caring inclusive environment, preparing them through productive partnerships, to contribute positively to an ever-changing world.</w:t>
            </w:r>
          </w:p>
          <w:p w14:paraId="170BF122" w14:textId="60ADB6A2" w:rsidR="00B37FDC" w:rsidRPr="001D5B74" w:rsidRDefault="00B37FDC" w:rsidP="001D5407">
            <w:pPr>
              <w:pStyle w:val="ListParagraph"/>
              <w:numPr>
                <w:ilvl w:val="0"/>
                <w:numId w:val="15"/>
              </w:numPr>
              <w:autoSpaceDE w:val="0"/>
              <w:autoSpaceDN w:val="0"/>
              <w:adjustRightInd w:val="0"/>
              <w:rPr>
                <w:rFonts w:ascii="Footlight MT Light" w:hAnsi="Footlight MT Light" w:cstheme="majorHAnsi"/>
                <w:color w:val="000000" w:themeColor="text1"/>
                <w:sz w:val="18"/>
                <w:szCs w:val="20"/>
              </w:rPr>
            </w:pPr>
            <w:r w:rsidRPr="001D5B74">
              <w:rPr>
                <w:rFonts w:ascii="Footlight MT Light" w:hAnsi="Footlight MT Light" w:cstheme="majorHAnsi"/>
                <w:color w:val="000000" w:themeColor="text1"/>
                <w:sz w:val="18"/>
                <w:szCs w:val="20"/>
              </w:rPr>
              <w:t>Integrity, Honesty and Trustworthiness in work and play,</w:t>
            </w:r>
          </w:p>
          <w:p w14:paraId="402E6ABC" w14:textId="554E5382" w:rsidR="00B37FDC" w:rsidRPr="001D5B74" w:rsidRDefault="00B37FDC" w:rsidP="001D5407">
            <w:pPr>
              <w:pStyle w:val="ListParagraph"/>
              <w:numPr>
                <w:ilvl w:val="0"/>
                <w:numId w:val="15"/>
              </w:numPr>
              <w:autoSpaceDE w:val="0"/>
              <w:autoSpaceDN w:val="0"/>
              <w:adjustRightInd w:val="0"/>
              <w:rPr>
                <w:rFonts w:ascii="Footlight MT Light" w:hAnsi="Footlight MT Light" w:cstheme="majorHAnsi"/>
                <w:color w:val="000000" w:themeColor="text1"/>
                <w:sz w:val="18"/>
                <w:szCs w:val="20"/>
              </w:rPr>
            </w:pPr>
            <w:r w:rsidRPr="001D5B74">
              <w:rPr>
                <w:rFonts w:ascii="Footlight MT Light" w:hAnsi="Footlight MT Light" w:cstheme="majorHAnsi"/>
                <w:color w:val="000000" w:themeColor="text1"/>
                <w:sz w:val="18"/>
                <w:szCs w:val="20"/>
              </w:rPr>
              <w:t>Respect for oneself and for others,</w:t>
            </w:r>
          </w:p>
          <w:p w14:paraId="4FC18FC7" w14:textId="3C9E70E5" w:rsidR="00B37FDC" w:rsidRPr="001D5B74" w:rsidRDefault="00B37FDC" w:rsidP="001D5407">
            <w:pPr>
              <w:pStyle w:val="ListParagraph"/>
              <w:numPr>
                <w:ilvl w:val="0"/>
                <w:numId w:val="15"/>
              </w:numPr>
              <w:autoSpaceDE w:val="0"/>
              <w:autoSpaceDN w:val="0"/>
              <w:adjustRightInd w:val="0"/>
              <w:rPr>
                <w:rFonts w:ascii="Footlight MT Light" w:hAnsi="Footlight MT Light" w:cstheme="majorHAnsi"/>
                <w:color w:val="000000" w:themeColor="text1"/>
                <w:sz w:val="18"/>
                <w:szCs w:val="20"/>
              </w:rPr>
            </w:pPr>
            <w:r w:rsidRPr="001D5B74">
              <w:rPr>
                <w:rFonts w:ascii="Footlight MT Light" w:hAnsi="Footlight MT Light" w:cstheme="majorHAnsi"/>
                <w:color w:val="000000" w:themeColor="text1"/>
                <w:sz w:val="18"/>
                <w:szCs w:val="20"/>
              </w:rPr>
              <w:t>Responsibility,</w:t>
            </w:r>
          </w:p>
          <w:p w14:paraId="4FB5AB32" w14:textId="01AE9336" w:rsidR="00B37FDC" w:rsidRPr="001D5B74" w:rsidRDefault="00B37FDC" w:rsidP="001D5407">
            <w:pPr>
              <w:pStyle w:val="ListParagraph"/>
              <w:numPr>
                <w:ilvl w:val="0"/>
                <w:numId w:val="15"/>
              </w:numPr>
              <w:autoSpaceDE w:val="0"/>
              <w:autoSpaceDN w:val="0"/>
              <w:adjustRightInd w:val="0"/>
              <w:rPr>
                <w:rFonts w:ascii="Footlight MT Light" w:hAnsi="Footlight MT Light" w:cstheme="majorHAnsi"/>
                <w:color w:val="000000" w:themeColor="text1"/>
                <w:sz w:val="18"/>
                <w:szCs w:val="20"/>
              </w:rPr>
            </w:pPr>
            <w:r w:rsidRPr="001D5B74">
              <w:rPr>
                <w:rFonts w:ascii="Footlight MT Light" w:hAnsi="Footlight MT Light" w:cstheme="majorHAnsi"/>
                <w:color w:val="000000" w:themeColor="text1"/>
                <w:sz w:val="18"/>
                <w:szCs w:val="20"/>
              </w:rPr>
              <w:t>Resilience,</w:t>
            </w:r>
          </w:p>
          <w:p w14:paraId="07757835" w14:textId="16F0D599" w:rsidR="00B37FDC" w:rsidRPr="001D5B74" w:rsidRDefault="00B37FDC" w:rsidP="001D5407">
            <w:pPr>
              <w:pStyle w:val="ListParagraph"/>
              <w:numPr>
                <w:ilvl w:val="0"/>
                <w:numId w:val="15"/>
              </w:numPr>
              <w:autoSpaceDE w:val="0"/>
              <w:autoSpaceDN w:val="0"/>
              <w:adjustRightInd w:val="0"/>
              <w:rPr>
                <w:rFonts w:ascii="Footlight MT Light" w:hAnsi="Footlight MT Light" w:cstheme="majorHAnsi"/>
                <w:color w:val="000000" w:themeColor="text1"/>
                <w:sz w:val="18"/>
                <w:szCs w:val="20"/>
              </w:rPr>
            </w:pPr>
            <w:r w:rsidRPr="001D5B74">
              <w:rPr>
                <w:rFonts w:ascii="Footlight MT Light" w:hAnsi="Footlight MT Light" w:cstheme="majorHAnsi"/>
                <w:color w:val="000000" w:themeColor="text1"/>
                <w:sz w:val="18"/>
                <w:szCs w:val="20"/>
              </w:rPr>
              <w:t>High expectations for all</w:t>
            </w:r>
          </w:p>
          <w:p w14:paraId="46817F7E" w14:textId="5F90D0FF" w:rsidR="00655905" w:rsidRPr="001D5407" w:rsidRDefault="00655905" w:rsidP="001D5407">
            <w:pPr>
              <w:pStyle w:val="ListParagraph"/>
              <w:autoSpaceDE w:val="0"/>
              <w:autoSpaceDN w:val="0"/>
              <w:adjustRightInd w:val="0"/>
              <w:ind w:left="360"/>
              <w:rPr>
                <w:rFonts w:ascii="Footlight MT Light" w:hAnsi="Footlight MT Light" w:cstheme="majorHAnsi"/>
                <w:color w:val="000000" w:themeColor="text1"/>
                <w:sz w:val="18"/>
                <w:szCs w:val="20"/>
              </w:rPr>
            </w:pPr>
          </w:p>
        </w:tc>
      </w:tr>
      <w:tr w:rsidR="006B71F8" w14:paraId="22173495" w14:textId="77777777" w:rsidTr="001D5407">
        <w:trPr>
          <w:trHeight w:val="755"/>
        </w:trPr>
        <w:tc>
          <w:tcPr>
            <w:tcW w:w="22959" w:type="dxa"/>
            <w:gridSpan w:val="10"/>
            <w:tcBorders>
              <w:left w:val="single" w:sz="12" w:space="0" w:color="auto"/>
              <w:bottom w:val="single" w:sz="12" w:space="0" w:color="auto"/>
              <w:right w:val="single" w:sz="12" w:space="0" w:color="auto"/>
            </w:tcBorders>
          </w:tcPr>
          <w:p w14:paraId="64610D3F" w14:textId="3E0B2F4B" w:rsidR="006B71F8" w:rsidRDefault="00352E1A" w:rsidP="001D5407">
            <w:pPr>
              <w:rPr>
                <w:rFonts w:ascii="Arial" w:hAnsi="Arial" w:cs="Arial"/>
                <w:b/>
                <w:bCs/>
              </w:rPr>
            </w:pPr>
            <w:r>
              <w:rPr>
                <w:noProof/>
              </w:rPr>
              <w:drawing>
                <wp:anchor distT="0" distB="0" distL="114300" distR="114300" simplePos="0" relativeHeight="251648512" behindDoc="0" locked="0" layoutInCell="1" allowOverlap="1" wp14:anchorId="7C516396" wp14:editId="711CA20B">
                  <wp:simplePos x="0" y="0"/>
                  <wp:positionH relativeFrom="column">
                    <wp:posOffset>5321216</wp:posOffset>
                  </wp:positionH>
                  <wp:positionV relativeFrom="paragraph">
                    <wp:posOffset>23028</wp:posOffset>
                  </wp:positionV>
                  <wp:extent cx="3555229" cy="4051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55229" cy="40511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rPr>
              <w:drawing>
                <wp:anchor distT="0" distB="0" distL="114300" distR="114300" simplePos="0" relativeHeight="251663872" behindDoc="0" locked="0" layoutInCell="1" allowOverlap="1" wp14:anchorId="4599E06E" wp14:editId="491149BB">
                  <wp:simplePos x="0" y="0"/>
                  <wp:positionH relativeFrom="column">
                    <wp:posOffset>13566967</wp:posOffset>
                  </wp:positionH>
                  <wp:positionV relativeFrom="paragraph">
                    <wp:posOffset>90023</wp:posOffset>
                  </wp:positionV>
                  <wp:extent cx="364072" cy="358732"/>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072" cy="35873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rPr>
              <w:drawing>
                <wp:anchor distT="0" distB="0" distL="114300" distR="114300" simplePos="0" relativeHeight="251668992" behindDoc="0" locked="0" layoutInCell="1" allowOverlap="1" wp14:anchorId="2D2427DB" wp14:editId="4DB3D237">
                  <wp:simplePos x="0" y="0"/>
                  <wp:positionH relativeFrom="column">
                    <wp:posOffset>14068130</wp:posOffset>
                  </wp:positionH>
                  <wp:positionV relativeFrom="paragraph">
                    <wp:posOffset>45085</wp:posOffset>
                  </wp:positionV>
                  <wp:extent cx="364943" cy="38707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943" cy="387077"/>
                          </a:xfrm>
                          <a:prstGeom prst="rect">
                            <a:avLst/>
                          </a:prstGeom>
                          <a:noFill/>
                        </pic:spPr>
                      </pic:pic>
                    </a:graphicData>
                  </a:graphic>
                  <wp14:sizeRelH relativeFrom="margin">
                    <wp14:pctWidth>0</wp14:pctWidth>
                  </wp14:sizeRelH>
                  <wp14:sizeRelV relativeFrom="margin">
                    <wp14:pctHeight>0</wp14:pctHeight>
                  </wp14:sizeRelV>
                </wp:anchor>
              </w:drawing>
            </w:r>
            <w:r w:rsidR="006B71F8">
              <w:rPr>
                <w:noProof/>
              </w:rPr>
              <w:drawing>
                <wp:anchor distT="0" distB="0" distL="114300" distR="114300" simplePos="0" relativeHeight="251653632" behindDoc="0" locked="0" layoutInCell="1" allowOverlap="1" wp14:anchorId="670B526C" wp14:editId="3865EFB2">
                  <wp:simplePos x="0" y="0"/>
                  <wp:positionH relativeFrom="column">
                    <wp:posOffset>-248</wp:posOffset>
                  </wp:positionH>
                  <wp:positionV relativeFrom="paragraph">
                    <wp:posOffset>121888</wp:posOffset>
                  </wp:positionV>
                  <wp:extent cx="335460" cy="30786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460" cy="307860"/>
                          </a:xfrm>
                          <a:prstGeom prst="rect">
                            <a:avLst/>
                          </a:prstGeom>
                        </pic:spPr>
                      </pic:pic>
                    </a:graphicData>
                  </a:graphic>
                  <wp14:sizeRelH relativeFrom="margin">
                    <wp14:pctWidth>0</wp14:pctWidth>
                  </wp14:sizeRelH>
                  <wp14:sizeRelV relativeFrom="margin">
                    <wp14:pctHeight>0</wp14:pctHeight>
                  </wp14:sizeRelV>
                </wp:anchor>
              </w:drawing>
            </w:r>
            <w:r w:rsidR="006B71F8">
              <w:rPr>
                <w:noProof/>
              </w:rPr>
              <w:drawing>
                <wp:anchor distT="0" distB="0" distL="114300" distR="114300" simplePos="0" relativeHeight="251658752" behindDoc="0" locked="0" layoutInCell="1" allowOverlap="1" wp14:anchorId="39A9602C" wp14:editId="517A86A3">
                  <wp:simplePos x="0" y="0"/>
                  <wp:positionH relativeFrom="column">
                    <wp:posOffset>450778</wp:posOffset>
                  </wp:positionH>
                  <wp:positionV relativeFrom="paragraph">
                    <wp:posOffset>62060</wp:posOffset>
                  </wp:positionV>
                  <wp:extent cx="295154" cy="37148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295154" cy="371481"/>
                          </a:xfrm>
                          <a:prstGeom prst="rect">
                            <a:avLst/>
                          </a:prstGeom>
                        </pic:spPr>
                      </pic:pic>
                    </a:graphicData>
                  </a:graphic>
                  <wp14:sizeRelH relativeFrom="margin">
                    <wp14:pctWidth>0</wp14:pctWidth>
                  </wp14:sizeRelH>
                  <wp14:sizeRelV relativeFrom="margin">
                    <wp14:pctHeight>0</wp14:pctHeight>
                  </wp14:sizeRelV>
                </wp:anchor>
              </w:drawing>
            </w:r>
          </w:p>
          <w:p w14:paraId="7A461674" w14:textId="5F7D0A1D" w:rsidR="006B71F8" w:rsidRDefault="006B71F8" w:rsidP="001D5407">
            <w:pPr>
              <w:rPr>
                <w:rFonts w:ascii="Arial" w:hAnsi="Arial" w:cs="Arial"/>
                <w:b/>
                <w:bCs/>
              </w:rPr>
            </w:pPr>
          </w:p>
          <w:p w14:paraId="6DD867E9" w14:textId="77777777" w:rsidR="006B71F8" w:rsidRPr="00ED502A" w:rsidRDefault="006B71F8" w:rsidP="001D5407">
            <w:pPr>
              <w:rPr>
                <w:rFonts w:ascii="Arial" w:hAnsi="Arial" w:cs="Arial"/>
                <w:b/>
                <w:bCs/>
              </w:rPr>
            </w:pPr>
          </w:p>
        </w:tc>
      </w:tr>
      <w:tr w:rsidR="004D1B57" w14:paraId="68F4A771" w14:textId="77777777" w:rsidTr="001D5407">
        <w:trPr>
          <w:trHeight w:val="1021"/>
        </w:trPr>
        <w:tc>
          <w:tcPr>
            <w:tcW w:w="11325" w:type="dxa"/>
            <w:gridSpan w:val="5"/>
            <w:tcBorders>
              <w:top w:val="single" w:sz="12" w:space="0" w:color="auto"/>
              <w:left w:val="single" w:sz="12" w:space="0" w:color="auto"/>
              <w:bottom w:val="single" w:sz="4" w:space="0" w:color="auto"/>
              <w:right w:val="single" w:sz="12" w:space="0" w:color="auto"/>
            </w:tcBorders>
          </w:tcPr>
          <w:p w14:paraId="3438354F" w14:textId="01B4E0E1" w:rsidR="004D1B57" w:rsidRPr="00CB705D" w:rsidRDefault="004D1B57" w:rsidP="001D5407">
            <w:pPr>
              <w:rPr>
                <w:rFonts w:ascii="Arial" w:hAnsi="Arial" w:cs="Arial"/>
                <w:sz w:val="16"/>
                <w:szCs w:val="16"/>
              </w:rPr>
            </w:pPr>
            <w:r w:rsidRPr="00CB705D">
              <w:rPr>
                <w:rFonts w:ascii="Arial" w:hAnsi="Arial" w:cs="Arial"/>
                <w:sz w:val="16"/>
                <w:szCs w:val="16"/>
              </w:rPr>
              <w:t>School review key improvement strategies</w:t>
            </w:r>
          </w:p>
          <w:p w14:paraId="22B6F4B7" w14:textId="77777777" w:rsidR="00CB705D" w:rsidRPr="00CB705D" w:rsidRDefault="00CB705D" w:rsidP="001D5407">
            <w:pPr>
              <w:numPr>
                <w:ilvl w:val="0"/>
                <w:numId w:val="16"/>
              </w:numPr>
              <w:rPr>
                <w:rFonts w:ascii="Arial" w:hAnsi="Arial" w:cs="Arial"/>
                <w:sz w:val="16"/>
                <w:szCs w:val="16"/>
              </w:rPr>
            </w:pPr>
            <w:r w:rsidRPr="00CB705D">
              <w:rPr>
                <w:rFonts w:ascii="Arial" w:hAnsi="Arial" w:cs="Arial"/>
                <w:sz w:val="16"/>
                <w:szCs w:val="16"/>
              </w:rPr>
              <w:t>Domain 1: An explicit improvement agenda: Revitalise school improvement planning processes to ensure strategic documents reflect school and system priorities to provide greater clarity, direction and focus on the improvement of student learning and wellbeing outcomes.</w:t>
            </w:r>
          </w:p>
          <w:p w14:paraId="5FD6D796" w14:textId="77777777" w:rsidR="00CB705D" w:rsidRPr="00CB705D" w:rsidRDefault="00CB705D" w:rsidP="001D5407">
            <w:pPr>
              <w:numPr>
                <w:ilvl w:val="0"/>
                <w:numId w:val="16"/>
              </w:numPr>
              <w:rPr>
                <w:rFonts w:ascii="Arial" w:hAnsi="Arial" w:cs="Arial"/>
                <w:sz w:val="16"/>
                <w:szCs w:val="16"/>
              </w:rPr>
            </w:pPr>
            <w:r w:rsidRPr="00CB705D">
              <w:rPr>
                <w:rFonts w:ascii="Arial" w:hAnsi="Arial" w:cs="Arial"/>
                <w:sz w:val="16"/>
                <w:szCs w:val="16"/>
              </w:rPr>
              <w:t xml:space="preserve"> Domain 7: Differentiated teaching and learning: Collaboratively develop a vision for inclusive education aligned with Department of Education (DoE) policy and invest in the capability of staff to enact this vision to drive high expectations that all students learn and achieve.</w:t>
            </w:r>
          </w:p>
          <w:p w14:paraId="50197DCB" w14:textId="77777777" w:rsidR="00CB705D" w:rsidRPr="00CB705D" w:rsidRDefault="00CB705D" w:rsidP="001D5407">
            <w:pPr>
              <w:numPr>
                <w:ilvl w:val="0"/>
                <w:numId w:val="16"/>
              </w:numPr>
              <w:rPr>
                <w:rFonts w:ascii="Arial" w:hAnsi="Arial" w:cs="Arial"/>
                <w:sz w:val="16"/>
                <w:szCs w:val="16"/>
              </w:rPr>
            </w:pPr>
            <w:r w:rsidRPr="00CB705D">
              <w:rPr>
                <w:rFonts w:ascii="Arial" w:hAnsi="Arial" w:cs="Arial"/>
                <w:sz w:val="16"/>
                <w:szCs w:val="16"/>
              </w:rPr>
              <w:t xml:space="preserve"> Domain 5: An expert teaching team: Enact an instructional leadership model to strengthen the capability of leaders to lead curriculum, teaching and learning and support all teachers to improve outcomes for students.</w:t>
            </w:r>
          </w:p>
          <w:p w14:paraId="7CFBA896" w14:textId="77777777" w:rsidR="00CB705D" w:rsidRPr="00CB705D" w:rsidRDefault="00CB705D" w:rsidP="001D5407">
            <w:pPr>
              <w:numPr>
                <w:ilvl w:val="0"/>
                <w:numId w:val="16"/>
              </w:numPr>
              <w:rPr>
                <w:rFonts w:ascii="Arial" w:hAnsi="Arial" w:cs="Arial"/>
                <w:sz w:val="16"/>
                <w:szCs w:val="16"/>
              </w:rPr>
            </w:pPr>
            <w:r w:rsidRPr="00CB705D">
              <w:rPr>
                <w:rFonts w:ascii="Arial" w:hAnsi="Arial" w:cs="Arial"/>
                <w:sz w:val="16"/>
                <w:szCs w:val="16"/>
              </w:rPr>
              <w:t xml:space="preserve"> Domain 6: Systematic curriculum delivery: Collaboratively review the Curriculum, Assessment and Reporting Plan (CARP), with regional support, to align the 3 levels of planning and to develop year and band plans for all learning areas, starting with English and mathematics, to maximise opportunities for all students to access and progress through the curriculum.</w:t>
            </w:r>
          </w:p>
          <w:p w14:paraId="1323D70E" w14:textId="326B7649" w:rsidR="00CB705D" w:rsidRPr="001D5407" w:rsidRDefault="00CB705D" w:rsidP="001D5407">
            <w:pPr>
              <w:numPr>
                <w:ilvl w:val="0"/>
                <w:numId w:val="16"/>
              </w:numPr>
              <w:rPr>
                <w:rFonts w:ascii="Arial" w:hAnsi="Arial" w:cs="Arial"/>
                <w:sz w:val="16"/>
                <w:szCs w:val="16"/>
              </w:rPr>
            </w:pPr>
            <w:r w:rsidRPr="00CB705D">
              <w:rPr>
                <w:rFonts w:ascii="Arial" w:hAnsi="Arial" w:cs="Arial"/>
                <w:sz w:val="16"/>
                <w:szCs w:val="16"/>
              </w:rPr>
              <w:t xml:space="preserve"> Domain 5: An expert teaching team: Create direct alignment between the collegial engagement framework and associated professional learning plan, to regularly engage staff in a broad range of planned capability development opportunities aligned to school priorities and Annual Performance Development Plans (APDP).</w:t>
            </w:r>
          </w:p>
          <w:p w14:paraId="7CF3466D" w14:textId="0EAE4C05" w:rsidR="004D1B57" w:rsidRPr="00CB544E" w:rsidRDefault="004D1B57" w:rsidP="001D5407">
            <w:pPr>
              <w:pStyle w:val="Default"/>
              <w:rPr>
                <w:rFonts w:ascii="Arial" w:hAnsi="Arial" w:cs="Arial"/>
                <w:sz w:val="14"/>
                <w:szCs w:val="14"/>
              </w:rPr>
            </w:pPr>
          </w:p>
        </w:tc>
        <w:tc>
          <w:tcPr>
            <w:tcW w:w="11634" w:type="dxa"/>
            <w:gridSpan w:val="5"/>
            <w:tcBorders>
              <w:top w:val="single" w:sz="12" w:space="0" w:color="auto"/>
              <w:left w:val="single" w:sz="12" w:space="0" w:color="auto"/>
              <w:bottom w:val="single" w:sz="4" w:space="0" w:color="auto"/>
              <w:right w:val="single" w:sz="12" w:space="0" w:color="auto"/>
            </w:tcBorders>
          </w:tcPr>
          <w:p w14:paraId="37F38F55" w14:textId="5D03AC14" w:rsidR="004D1B57" w:rsidRDefault="004D1B57" w:rsidP="001D5407">
            <w:pPr>
              <w:rPr>
                <w:rFonts w:ascii="Arial" w:hAnsi="Arial" w:cs="Arial"/>
                <w:sz w:val="18"/>
                <w:szCs w:val="18"/>
              </w:rPr>
            </w:pPr>
            <w:r w:rsidRPr="00CB705D">
              <w:rPr>
                <w:rFonts w:ascii="Arial" w:hAnsi="Arial" w:cs="Arial"/>
                <w:sz w:val="18"/>
                <w:szCs w:val="18"/>
              </w:rPr>
              <w:t>School priorities</w:t>
            </w:r>
          </w:p>
          <w:p w14:paraId="70ED686F" w14:textId="77777777" w:rsidR="001D5407" w:rsidRPr="00CB705D" w:rsidRDefault="001D5407" w:rsidP="001D5407">
            <w:pPr>
              <w:rPr>
                <w:rFonts w:ascii="Arial" w:hAnsi="Arial" w:cs="Arial"/>
                <w:sz w:val="18"/>
                <w:szCs w:val="18"/>
              </w:rPr>
            </w:pPr>
          </w:p>
          <w:p w14:paraId="0C13E7D5" w14:textId="36B06167" w:rsidR="00CB705D" w:rsidRPr="00E32BCA" w:rsidRDefault="00CB705D" w:rsidP="001D5407">
            <w:pPr>
              <w:pStyle w:val="ListParagraph"/>
              <w:numPr>
                <w:ilvl w:val="0"/>
                <w:numId w:val="17"/>
              </w:numPr>
              <w:rPr>
                <w:rFonts w:ascii="Arial" w:hAnsi="Arial" w:cs="Arial"/>
                <w:i/>
                <w:iCs/>
                <w:sz w:val="21"/>
                <w:szCs w:val="21"/>
              </w:rPr>
            </w:pPr>
            <w:r w:rsidRPr="00E32BCA">
              <w:rPr>
                <w:rFonts w:ascii="Arial" w:hAnsi="Arial" w:cs="Arial"/>
                <w:i/>
                <w:iCs/>
                <w:sz w:val="21"/>
                <w:szCs w:val="21"/>
              </w:rPr>
              <w:t>Educational Achievement</w:t>
            </w:r>
            <w:r w:rsidR="00BF69D2" w:rsidRPr="00E32BCA">
              <w:rPr>
                <w:rFonts w:ascii="Arial" w:hAnsi="Arial" w:cs="Arial"/>
                <w:i/>
                <w:iCs/>
                <w:sz w:val="21"/>
                <w:szCs w:val="21"/>
              </w:rPr>
              <w:t>:</w:t>
            </w:r>
            <w:r w:rsidR="00F07EBA" w:rsidRPr="00E32BCA">
              <w:rPr>
                <w:rFonts w:ascii="Arial" w:hAnsi="Arial" w:cs="Arial"/>
                <w:i/>
                <w:iCs/>
                <w:sz w:val="21"/>
                <w:szCs w:val="21"/>
              </w:rPr>
              <w:t xml:space="preserve"> To align our whole school reading practices with Version 9.0</w:t>
            </w:r>
            <w:r w:rsidR="00BF69D2" w:rsidRPr="00E32BCA">
              <w:rPr>
                <w:rFonts w:ascii="Arial" w:hAnsi="Arial" w:cs="Arial"/>
                <w:i/>
                <w:iCs/>
                <w:sz w:val="21"/>
                <w:szCs w:val="21"/>
              </w:rPr>
              <w:t xml:space="preserve"> </w:t>
            </w:r>
            <w:r w:rsidR="00F07EBA" w:rsidRPr="00E32BCA">
              <w:rPr>
                <w:rFonts w:ascii="Arial" w:hAnsi="Arial" w:cs="Arial"/>
                <w:i/>
                <w:iCs/>
                <w:sz w:val="21"/>
                <w:szCs w:val="21"/>
              </w:rPr>
              <w:t>of the Australian Curriculum and to embed</w:t>
            </w:r>
            <w:r w:rsidR="00BF69D2" w:rsidRPr="00E32BCA">
              <w:rPr>
                <w:rFonts w:ascii="Arial" w:hAnsi="Arial" w:cs="Arial"/>
                <w:i/>
                <w:iCs/>
                <w:sz w:val="21"/>
                <w:szCs w:val="21"/>
              </w:rPr>
              <w:t xml:space="preserve"> and refine these practices over the next four years</w:t>
            </w:r>
          </w:p>
          <w:p w14:paraId="20CE64F7" w14:textId="77777777" w:rsidR="00263050" w:rsidRPr="00E32BCA" w:rsidRDefault="00263050" w:rsidP="00263050">
            <w:pPr>
              <w:pStyle w:val="ListParagraph"/>
              <w:rPr>
                <w:rFonts w:ascii="Arial" w:hAnsi="Arial" w:cs="Arial"/>
                <w:i/>
                <w:iCs/>
                <w:sz w:val="21"/>
                <w:szCs w:val="21"/>
              </w:rPr>
            </w:pPr>
          </w:p>
          <w:p w14:paraId="40EBFEDE" w14:textId="0F714D53" w:rsidR="00CB705D" w:rsidRPr="00E32BCA" w:rsidRDefault="00CB705D" w:rsidP="001D5407">
            <w:pPr>
              <w:pStyle w:val="ListParagraph"/>
              <w:numPr>
                <w:ilvl w:val="0"/>
                <w:numId w:val="17"/>
              </w:numPr>
              <w:rPr>
                <w:rFonts w:ascii="Arial" w:hAnsi="Arial" w:cs="Arial"/>
                <w:i/>
                <w:iCs/>
                <w:sz w:val="21"/>
                <w:szCs w:val="21"/>
              </w:rPr>
            </w:pPr>
            <w:r w:rsidRPr="00E32BCA">
              <w:rPr>
                <w:rFonts w:ascii="Arial" w:hAnsi="Arial" w:cs="Arial"/>
                <w:i/>
                <w:iCs/>
                <w:sz w:val="21"/>
                <w:szCs w:val="21"/>
              </w:rPr>
              <w:t>Culture and Inclusion</w:t>
            </w:r>
            <w:r w:rsidR="00BF69D2" w:rsidRPr="00E32BCA">
              <w:rPr>
                <w:rFonts w:ascii="Arial" w:hAnsi="Arial" w:cs="Arial"/>
                <w:i/>
                <w:iCs/>
                <w:sz w:val="21"/>
                <w:szCs w:val="21"/>
              </w:rPr>
              <w:t xml:space="preserve">:  To ensure all students at Hambledon State </w:t>
            </w:r>
            <w:r w:rsidR="00E32BCA" w:rsidRPr="00E32BCA">
              <w:rPr>
                <w:rFonts w:ascii="Arial" w:hAnsi="Arial" w:cs="Arial"/>
                <w:i/>
                <w:iCs/>
                <w:sz w:val="21"/>
                <w:szCs w:val="21"/>
              </w:rPr>
              <w:t>School receive the support they need to belong to the school community, engages purposefully in learning and experiences all over academic success</w:t>
            </w:r>
          </w:p>
          <w:p w14:paraId="18FB2FF8" w14:textId="7670CF6D" w:rsidR="005F4004" w:rsidRPr="00CB705D" w:rsidRDefault="005F4004" w:rsidP="001D5407">
            <w:pPr>
              <w:rPr>
                <w:rFonts w:ascii="Arial" w:hAnsi="Arial" w:cs="Arial"/>
                <w:noProof/>
                <w:color w:val="FF0000"/>
                <w:sz w:val="14"/>
                <w:szCs w:val="14"/>
              </w:rPr>
            </w:pPr>
            <w:bookmarkStart w:id="0" w:name="_Hlk143852843"/>
          </w:p>
          <w:bookmarkEnd w:id="0"/>
          <w:p w14:paraId="63EBD26E" w14:textId="210F3481" w:rsidR="00655905" w:rsidRPr="00CB705D" w:rsidRDefault="00655905" w:rsidP="001D5407">
            <w:pPr>
              <w:rPr>
                <w:rFonts w:ascii="Arial" w:hAnsi="Arial" w:cs="Arial"/>
                <w:noProof/>
                <w:sz w:val="18"/>
                <w:szCs w:val="18"/>
              </w:rPr>
            </w:pPr>
          </w:p>
        </w:tc>
      </w:tr>
      <w:tr w:rsidR="008C58E8" w14:paraId="79DC9F99" w14:textId="77777777" w:rsidTr="001D5407">
        <w:trPr>
          <w:trHeight w:val="5222"/>
        </w:trPr>
        <w:tc>
          <w:tcPr>
            <w:tcW w:w="11325" w:type="dxa"/>
            <w:gridSpan w:val="5"/>
            <w:tcBorders>
              <w:top w:val="single" w:sz="12" w:space="0" w:color="auto"/>
              <w:left w:val="single" w:sz="12" w:space="0" w:color="auto"/>
              <w:right w:val="single" w:sz="12" w:space="0" w:color="auto"/>
            </w:tcBorders>
          </w:tcPr>
          <w:p w14:paraId="0CDFD651" w14:textId="77777777" w:rsidR="008C58E8" w:rsidRDefault="008C58E8" w:rsidP="001D5407">
            <w:pPr>
              <w:rPr>
                <w:rFonts w:ascii="Arial" w:hAnsi="Arial" w:cs="Arial"/>
                <w:b/>
                <w:bCs/>
              </w:rPr>
            </w:pPr>
            <w:r>
              <w:rPr>
                <w:rFonts w:ascii="Arial" w:hAnsi="Arial" w:cs="Arial"/>
                <w:b/>
                <w:bCs/>
              </w:rPr>
              <w:t>School p</w:t>
            </w:r>
            <w:r w:rsidRPr="00ED502A">
              <w:rPr>
                <w:rFonts w:ascii="Arial" w:hAnsi="Arial" w:cs="Arial"/>
                <w:b/>
                <w:bCs/>
              </w:rPr>
              <w:t>riority 1:</w:t>
            </w:r>
          </w:p>
          <w:p w14:paraId="022D97AE" w14:textId="4FDEAEFE" w:rsidR="008C58E8" w:rsidRDefault="001D5407" w:rsidP="001D5407">
            <w:pPr>
              <w:rPr>
                <w:rFonts w:ascii="Arial" w:hAnsi="Arial" w:cs="Arial"/>
                <w:b/>
                <w:bCs/>
                <w:noProof/>
              </w:rPr>
            </w:pPr>
            <w:r>
              <w:rPr>
                <w:rFonts w:ascii="Arial" w:hAnsi="Arial" w:cs="Arial"/>
                <w:noProof/>
                <w:sz w:val="18"/>
                <w:szCs w:val="18"/>
              </w:rPr>
              <w:t>Culture and Inclusion</w:t>
            </w:r>
          </w:p>
          <w:p w14:paraId="2A208ECE" w14:textId="77777777" w:rsidR="008C58E8" w:rsidRDefault="008C58E8" w:rsidP="001D5407">
            <w:pPr>
              <w:rPr>
                <w:rFonts w:ascii="Arial" w:hAnsi="Arial" w:cs="Arial"/>
                <w:b/>
                <w:bCs/>
                <w:noProof/>
              </w:rPr>
            </w:pPr>
          </w:p>
          <w:p w14:paraId="3E134F34" w14:textId="78B34C53" w:rsidR="008C58E8" w:rsidRDefault="008C58E8" w:rsidP="001D5407">
            <w:pPr>
              <w:rPr>
                <w:rFonts w:ascii="Arial" w:hAnsi="Arial" w:cs="Arial"/>
                <w:b/>
                <w:bCs/>
                <w:noProof/>
              </w:rPr>
            </w:pPr>
            <w:r>
              <w:rPr>
                <w:rFonts w:ascii="Arial" w:hAnsi="Arial" w:cs="Arial"/>
                <w:b/>
                <w:bCs/>
                <w:noProof/>
              </w:rPr>
              <w:t>Strategies to learn:</w:t>
            </w:r>
          </w:p>
          <w:p w14:paraId="5BB1DC94"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Establish professional relationships with like schools in the region and align inclusive journey </w:t>
            </w:r>
          </w:p>
          <w:p w14:paraId="516813E6"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Investigate inclusive practices at schools within the region</w:t>
            </w:r>
          </w:p>
          <w:p w14:paraId="20D03B3E"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Look at resourcing equitably school wide, utilising teacher aides support throughout the entire school and those skills can be carried across different sectors </w:t>
            </w:r>
            <w:proofErr w:type="gramStart"/>
            <w:r w:rsidRPr="00622145">
              <w:rPr>
                <w:rFonts w:asciiTheme="majorHAnsi" w:hAnsiTheme="majorHAnsi" w:cstheme="majorHAnsi"/>
                <w:sz w:val="20"/>
                <w:szCs w:val="20"/>
              </w:rPr>
              <w:t>e.g.</w:t>
            </w:r>
            <w:proofErr w:type="gramEnd"/>
            <w:r w:rsidRPr="00622145">
              <w:rPr>
                <w:rFonts w:asciiTheme="majorHAnsi" w:hAnsiTheme="majorHAnsi" w:cstheme="majorHAnsi"/>
                <w:sz w:val="20"/>
                <w:szCs w:val="20"/>
              </w:rPr>
              <w:t xml:space="preserve"> POD/p-3/4-6</w:t>
            </w:r>
          </w:p>
          <w:p w14:paraId="6F7D8772"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Provide ongoing professional development and allocate time at SIM to record data for NCCD</w:t>
            </w:r>
          </w:p>
          <w:p w14:paraId="3DC21D05"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Provide ongoing professional development for teachers to be able to implement and adjust units of work for students with a disability </w:t>
            </w:r>
          </w:p>
          <w:p w14:paraId="5AE0255A"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Ensure the Australian Curriculum is accessible for all learners in the school through a culture of inclusion and whole school agreed upon practices</w:t>
            </w:r>
          </w:p>
          <w:p w14:paraId="5041D460" w14:textId="7DD95DCF" w:rsidR="008C58E8" w:rsidRPr="00F07EBA" w:rsidRDefault="00622145" w:rsidP="001D5407">
            <w:pPr>
              <w:pStyle w:val="ListParagraph"/>
              <w:numPr>
                <w:ilvl w:val="0"/>
                <w:numId w:val="18"/>
              </w:numPr>
              <w:rPr>
                <w:rFonts w:ascii="Arial" w:hAnsi="Arial" w:cs="Arial"/>
                <w:b/>
                <w:bCs/>
                <w:noProof/>
              </w:rPr>
            </w:pPr>
            <w:r w:rsidRPr="00622145">
              <w:rPr>
                <w:rFonts w:asciiTheme="majorHAnsi" w:hAnsiTheme="majorHAnsi" w:cstheme="majorHAnsi"/>
                <w:sz w:val="20"/>
                <w:szCs w:val="20"/>
              </w:rPr>
              <w:t>Redistribute physical resources throughout the school to support all students equitably</w:t>
            </w:r>
          </w:p>
          <w:p w14:paraId="087D3EEB" w14:textId="77777777" w:rsidR="008C58E8" w:rsidRPr="002A679C" w:rsidRDefault="008C58E8" w:rsidP="001D5407">
            <w:pPr>
              <w:rPr>
                <w:rFonts w:ascii="Arial" w:hAnsi="Arial" w:cs="Arial"/>
                <w:b/>
                <w:bCs/>
                <w:noProof/>
              </w:rPr>
            </w:pPr>
            <w:r>
              <w:rPr>
                <w:rFonts w:ascii="Arial" w:hAnsi="Arial" w:cs="Arial"/>
                <w:b/>
                <w:bCs/>
                <w:noProof/>
              </w:rPr>
              <w:t>Success criteria</w:t>
            </w:r>
            <w:r w:rsidRPr="00984669">
              <w:rPr>
                <w:rFonts w:ascii="Arial" w:hAnsi="Arial" w:cs="Arial"/>
                <w:b/>
                <w:bCs/>
                <w:sz w:val="18"/>
                <w:szCs w:val="18"/>
              </w:rPr>
              <w:t>:</w:t>
            </w:r>
          </w:p>
          <w:p w14:paraId="1B110667"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Every student with a disability succeeding</w:t>
            </w:r>
          </w:p>
          <w:p w14:paraId="772F613A"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All students on ICP’S achieving goals</w:t>
            </w:r>
          </w:p>
          <w:p w14:paraId="6FB1D6AB"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Every Aboriginal and Torres Strait Islander student succeeding </w:t>
            </w:r>
          </w:p>
          <w:p w14:paraId="14854DD8"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NCCD data</w:t>
            </w:r>
          </w:p>
          <w:p w14:paraId="59080459"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SOS (inclusive)</w:t>
            </w:r>
          </w:p>
          <w:p w14:paraId="239BC2F8" w14:textId="77777777" w:rsidR="00622145" w:rsidRPr="00622145" w:rsidRDefault="00622145" w:rsidP="00622145">
            <w:pPr>
              <w:pStyle w:val="ListParagraph"/>
              <w:numPr>
                <w:ilvl w:val="0"/>
                <w:numId w:val="18"/>
              </w:numPr>
              <w:rPr>
                <w:rFonts w:asciiTheme="majorHAnsi" w:hAnsiTheme="majorHAnsi" w:cstheme="majorHAnsi"/>
                <w:sz w:val="20"/>
                <w:szCs w:val="20"/>
              </w:rPr>
            </w:pPr>
            <w:r w:rsidRPr="00622145">
              <w:rPr>
                <w:rFonts w:asciiTheme="majorHAnsi" w:hAnsiTheme="majorHAnsi" w:cstheme="majorHAnsi"/>
                <w:sz w:val="20"/>
                <w:szCs w:val="20"/>
              </w:rPr>
              <w:t>School opinion Survey data:  Levels of agreement from parents, students and staff (SOS) are similar to or better than the state</w:t>
            </w:r>
          </w:p>
          <w:p w14:paraId="4BCC0498" w14:textId="29936881" w:rsidR="008C58E8" w:rsidRPr="00622145" w:rsidRDefault="00622145" w:rsidP="00622145">
            <w:pPr>
              <w:pStyle w:val="ListParagraph"/>
              <w:numPr>
                <w:ilvl w:val="0"/>
                <w:numId w:val="18"/>
              </w:numPr>
              <w:rPr>
                <w:rFonts w:ascii="Arial" w:hAnsi="Arial" w:cs="Arial"/>
                <w:b/>
                <w:bCs/>
              </w:rPr>
            </w:pPr>
            <w:r w:rsidRPr="00622145">
              <w:rPr>
                <w:rFonts w:asciiTheme="majorHAnsi" w:hAnsiTheme="majorHAnsi" w:cstheme="majorHAnsi"/>
                <w:sz w:val="20"/>
                <w:szCs w:val="20"/>
              </w:rPr>
              <w:t>All students achieving ongoing academic success</w:t>
            </w:r>
          </w:p>
        </w:tc>
        <w:tc>
          <w:tcPr>
            <w:tcW w:w="11634" w:type="dxa"/>
            <w:gridSpan w:val="5"/>
            <w:tcBorders>
              <w:top w:val="single" w:sz="12" w:space="0" w:color="auto"/>
              <w:left w:val="single" w:sz="12" w:space="0" w:color="auto"/>
              <w:bottom w:val="single" w:sz="12" w:space="0" w:color="auto"/>
              <w:right w:val="single" w:sz="12" w:space="0" w:color="auto"/>
            </w:tcBorders>
          </w:tcPr>
          <w:p w14:paraId="0679C3A0" w14:textId="350F0B70" w:rsidR="008C58E8" w:rsidRDefault="008C58E8" w:rsidP="001D5407">
            <w:pPr>
              <w:rPr>
                <w:rFonts w:ascii="Arial" w:hAnsi="Arial" w:cs="Arial"/>
                <w:b/>
                <w:bCs/>
              </w:rPr>
            </w:pPr>
            <w:r>
              <w:rPr>
                <w:rFonts w:ascii="Arial" w:hAnsi="Arial" w:cs="Arial"/>
                <w:b/>
                <w:bCs/>
              </w:rPr>
              <w:t>School p</w:t>
            </w:r>
            <w:r w:rsidRPr="00ED502A">
              <w:rPr>
                <w:rFonts w:ascii="Arial" w:hAnsi="Arial" w:cs="Arial"/>
                <w:b/>
                <w:bCs/>
              </w:rPr>
              <w:t xml:space="preserve">riority </w:t>
            </w:r>
            <w:r>
              <w:rPr>
                <w:rFonts w:ascii="Arial" w:hAnsi="Arial" w:cs="Arial"/>
                <w:b/>
                <w:bCs/>
              </w:rPr>
              <w:t>2:</w:t>
            </w:r>
          </w:p>
          <w:p w14:paraId="085297F0" w14:textId="5337EB8D" w:rsidR="008C58E8" w:rsidRPr="00BD1E78" w:rsidRDefault="001D5407" w:rsidP="001D5407">
            <w:pPr>
              <w:rPr>
                <w:rFonts w:ascii="Arial" w:hAnsi="Arial" w:cs="Arial"/>
                <w:noProof/>
                <w:sz w:val="18"/>
                <w:szCs w:val="18"/>
              </w:rPr>
            </w:pPr>
            <w:r>
              <w:rPr>
                <w:rFonts w:ascii="Arial" w:hAnsi="Arial" w:cs="Arial"/>
                <w:noProof/>
                <w:sz w:val="18"/>
                <w:szCs w:val="18"/>
              </w:rPr>
              <w:t xml:space="preserve">Educational Achievement </w:t>
            </w:r>
          </w:p>
          <w:p w14:paraId="639B7840" w14:textId="3483005C" w:rsidR="008C58E8" w:rsidRDefault="008C58E8" w:rsidP="001D5407">
            <w:pPr>
              <w:rPr>
                <w:rFonts w:ascii="Arial" w:hAnsi="Arial" w:cs="Arial"/>
                <w:b/>
                <w:bCs/>
                <w:noProof/>
              </w:rPr>
            </w:pPr>
          </w:p>
          <w:p w14:paraId="74CD8747" w14:textId="68F34775" w:rsidR="008C58E8" w:rsidRPr="00F07EBA" w:rsidRDefault="008C58E8" w:rsidP="001D5407">
            <w:pPr>
              <w:rPr>
                <w:rFonts w:ascii="Arial" w:hAnsi="Arial" w:cs="Arial"/>
                <w:b/>
                <w:bCs/>
                <w:noProof/>
              </w:rPr>
            </w:pPr>
            <w:r>
              <w:rPr>
                <w:rFonts w:ascii="Arial" w:hAnsi="Arial" w:cs="Arial"/>
                <w:b/>
                <w:bCs/>
                <w:noProof/>
              </w:rPr>
              <w:t>Strategies to learn:</w:t>
            </w:r>
            <w:r>
              <w:rPr>
                <w:noProof/>
              </w:rPr>
              <w:t xml:space="preserve"> </w:t>
            </w:r>
          </w:p>
          <w:p w14:paraId="02FF04A0"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Review current pedagogical practices and evaluate effectiveness on student learning outcomes</w:t>
            </w:r>
          </w:p>
          <w:p w14:paraId="0C61261A"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Reinvigorate school pedagogical practices. Provide professional development and allow teacher to visit other teachers throughout the school to observe high yield teaching practices in action</w:t>
            </w:r>
          </w:p>
          <w:p w14:paraId="05FF5ADD"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Build capability of middle leaders to be able to provide instructional leadership on agreed pedagogical practices </w:t>
            </w:r>
          </w:p>
          <w:p w14:paraId="304D8939"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Engage all learners with high expectations and a culture that promotes learning in all classrooms and into the wider community by embedding and extending PBL systems</w:t>
            </w:r>
          </w:p>
          <w:p w14:paraId="29961C17"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Implement collaborative cycles of review and quality assurance processes to ensure key school wide approaches are effective in producing improvements in student learning outcomes (marker students) and moderation</w:t>
            </w:r>
          </w:p>
          <w:p w14:paraId="1F66875B" w14:textId="07214125" w:rsidR="005F53CD"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Reinvigorate Bump it up walls throughout the school and ensure data is being captured and discussed regularly to inform effectiveness of programs and pedagogy </w:t>
            </w:r>
          </w:p>
          <w:p w14:paraId="232304EF" w14:textId="77777777" w:rsidR="008C58E8" w:rsidRPr="002A679C" w:rsidRDefault="008C58E8" w:rsidP="001D5407">
            <w:pPr>
              <w:rPr>
                <w:rFonts w:ascii="Arial" w:hAnsi="Arial" w:cs="Arial"/>
                <w:b/>
                <w:bCs/>
                <w:noProof/>
              </w:rPr>
            </w:pPr>
            <w:r>
              <w:rPr>
                <w:rFonts w:ascii="Arial" w:hAnsi="Arial" w:cs="Arial"/>
                <w:b/>
                <w:bCs/>
                <w:noProof/>
              </w:rPr>
              <w:t>Success criteria</w:t>
            </w:r>
            <w:r w:rsidRPr="00984669">
              <w:rPr>
                <w:rFonts w:ascii="Arial" w:hAnsi="Arial" w:cs="Arial"/>
                <w:b/>
                <w:bCs/>
                <w:sz w:val="18"/>
                <w:szCs w:val="18"/>
              </w:rPr>
              <w:t>:</w:t>
            </w:r>
          </w:p>
          <w:p w14:paraId="3597A134"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SORD data trending upwards in relation to the region and state</w:t>
            </w:r>
          </w:p>
          <w:p w14:paraId="151006E9"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90% of students achieving improvement in Screener data</w:t>
            </w:r>
          </w:p>
          <w:p w14:paraId="22E5C2E8" w14:textId="04506C2F"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 </w:t>
            </w:r>
            <w:proofErr w:type="gramStart"/>
            <w:r w:rsidRPr="00622145">
              <w:rPr>
                <w:rFonts w:asciiTheme="majorHAnsi" w:hAnsiTheme="majorHAnsi" w:cstheme="majorHAnsi"/>
                <w:sz w:val="20"/>
                <w:szCs w:val="20"/>
              </w:rPr>
              <w:t>of</w:t>
            </w:r>
            <w:proofErr w:type="gramEnd"/>
            <w:r w:rsidRPr="00622145">
              <w:rPr>
                <w:rFonts w:asciiTheme="majorHAnsi" w:hAnsiTheme="majorHAnsi" w:cstheme="majorHAnsi"/>
                <w:sz w:val="20"/>
                <w:szCs w:val="20"/>
              </w:rPr>
              <w:t xml:space="preserve"> students in Year 3 and 5 meeting NMS in NAPLAN strands similar to/ exceeding like schools/nation</w:t>
            </w:r>
            <w:r w:rsidR="00BF69D2">
              <w:rPr>
                <w:rFonts w:asciiTheme="majorHAnsi" w:hAnsiTheme="majorHAnsi" w:cstheme="majorHAnsi"/>
                <w:sz w:val="20"/>
                <w:szCs w:val="20"/>
              </w:rPr>
              <w:t xml:space="preserve"> and aligned to HSS OLA</w:t>
            </w:r>
          </w:p>
          <w:p w14:paraId="637302D7" w14:textId="77777777" w:rsidR="00622145" w:rsidRPr="00622145" w:rsidRDefault="00622145" w:rsidP="00622145">
            <w:pPr>
              <w:pStyle w:val="ListParagraph"/>
              <w:numPr>
                <w:ilvl w:val="0"/>
                <w:numId w:val="18"/>
              </w:numPr>
              <w:rPr>
                <w:rFonts w:asciiTheme="majorHAnsi" w:hAnsiTheme="majorHAnsi" w:cstheme="majorHAnsi"/>
                <w:sz w:val="20"/>
                <w:szCs w:val="20"/>
              </w:rPr>
            </w:pPr>
            <w:r w:rsidRPr="00622145">
              <w:rPr>
                <w:rFonts w:asciiTheme="majorHAnsi" w:hAnsiTheme="majorHAnsi" w:cstheme="majorHAnsi"/>
                <w:sz w:val="20"/>
                <w:szCs w:val="20"/>
              </w:rPr>
              <w:t>School opinion Survey data:  Levels of agreement from parents, students and staff (SOS) are similar to or better than the state</w:t>
            </w:r>
          </w:p>
          <w:p w14:paraId="4E40D3A9"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 xml:space="preserve">% </w:t>
            </w:r>
            <w:proofErr w:type="gramStart"/>
            <w:r w:rsidRPr="00622145">
              <w:rPr>
                <w:rFonts w:asciiTheme="majorHAnsi" w:hAnsiTheme="majorHAnsi" w:cstheme="majorHAnsi"/>
                <w:sz w:val="20"/>
                <w:szCs w:val="20"/>
              </w:rPr>
              <w:t>of</w:t>
            </w:r>
            <w:proofErr w:type="gramEnd"/>
            <w:r w:rsidRPr="00622145">
              <w:rPr>
                <w:rFonts w:asciiTheme="majorHAnsi" w:hAnsiTheme="majorHAnsi" w:cstheme="majorHAnsi"/>
                <w:sz w:val="20"/>
                <w:szCs w:val="20"/>
              </w:rPr>
              <w:t xml:space="preserve"> students in Year 3 and 5 in U2B in NAPLAN strands similar to/exceeding like schools/nation</w:t>
            </w:r>
          </w:p>
          <w:p w14:paraId="2804E744" w14:textId="77777777" w:rsidR="00622145" w:rsidRPr="00622145" w:rsidRDefault="00622145" w:rsidP="00622145">
            <w:pPr>
              <w:pStyle w:val="ListParagraph"/>
              <w:numPr>
                <w:ilvl w:val="0"/>
                <w:numId w:val="18"/>
              </w:numPr>
              <w:autoSpaceDE w:val="0"/>
              <w:autoSpaceDN w:val="0"/>
              <w:adjustRightInd w:val="0"/>
              <w:rPr>
                <w:rFonts w:asciiTheme="majorHAnsi" w:hAnsiTheme="majorHAnsi" w:cstheme="majorHAnsi"/>
                <w:sz w:val="20"/>
                <w:szCs w:val="20"/>
              </w:rPr>
            </w:pPr>
            <w:r w:rsidRPr="00622145">
              <w:rPr>
                <w:rFonts w:asciiTheme="majorHAnsi" w:hAnsiTheme="majorHAnsi" w:cstheme="majorHAnsi"/>
                <w:sz w:val="20"/>
                <w:szCs w:val="20"/>
              </w:rPr>
              <w:t>90% of students achieve A-C in English, Maths and Science</w:t>
            </w:r>
          </w:p>
          <w:p w14:paraId="119AC74D" w14:textId="5F28F29E" w:rsidR="008C58E8" w:rsidRPr="00622145" w:rsidRDefault="00622145" w:rsidP="00622145">
            <w:pPr>
              <w:pStyle w:val="ListParagraph"/>
              <w:numPr>
                <w:ilvl w:val="0"/>
                <w:numId w:val="18"/>
              </w:numPr>
              <w:rPr>
                <w:rFonts w:ascii="Arial" w:hAnsi="Arial" w:cs="Arial"/>
                <w:b/>
                <w:bCs/>
                <w:sz w:val="14"/>
                <w:szCs w:val="14"/>
              </w:rPr>
            </w:pPr>
            <w:r w:rsidRPr="00622145">
              <w:rPr>
                <w:rFonts w:asciiTheme="majorHAnsi" w:hAnsiTheme="majorHAnsi" w:cstheme="majorHAnsi"/>
                <w:sz w:val="20"/>
                <w:szCs w:val="20"/>
              </w:rPr>
              <w:t>90% of students showing 12 months of growth every year</w:t>
            </w:r>
          </w:p>
        </w:tc>
      </w:tr>
      <w:tr w:rsidR="00145197" w14:paraId="49B19049" w14:textId="77777777" w:rsidTr="001D5407">
        <w:trPr>
          <w:trHeight w:val="107"/>
        </w:trPr>
        <w:tc>
          <w:tcPr>
            <w:tcW w:w="8490" w:type="dxa"/>
            <w:tcBorders>
              <w:top w:val="single" w:sz="12" w:space="0" w:color="auto"/>
              <w:left w:val="single" w:sz="12" w:space="0" w:color="auto"/>
              <w:right w:val="single" w:sz="4" w:space="0" w:color="auto"/>
            </w:tcBorders>
          </w:tcPr>
          <w:p w14:paraId="598BD243" w14:textId="62000B36" w:rsidR="00145197" w:rsidRPr="004A5A02" w:rsidRDefault="00145197" w:rsidP="001D5407">
            <w:pPr>
              <w:rPr>
                <w:rFonts w:ascii="Arial" w:hAnsi="Arial" w:cs="Arial"/>
                <w:i/>
                <w:iCs/>
                <w:color w:val="FF0000"/>
                <w:sz w:val="14"/>
                <w:szCs w:val="14"/>
              </w:rPr>
            </w:pPr>
            <w:r w:rsidRPr="00984669">
              <w:rPr>
                <w:rFonts w:ascii="Arial" w:hAnsi="Arial" w:cs="Arial"/>
                <w:b/>
                <w:bCs/>
                <w:noProof/>
                <w:sz w:val="16"/>
                <w:szCs w:val="16"/>
              </w:rPr>
              <w:t>Phases</w:t>
            </w:r>
            <w:r>
              <w:rPr>
                <w:rFonts w:ascii="Arial" w:hAnsi="Arial" w:cs="Arial"/>
                <w:b/>
                <w:bCs/>
                <w:noProof/>
                <w:sz w:val="16"/>
                <w:szCs w:val="16"/>
              </w:rPr>
              <w:t xml:space="preserve"> - </w:t>
            </w:r>
          </w:p>
        </w:tc>
        <w:tc>
          <w:tcPr>
            <w:tcW w:w="709" w:type="dxa"/>
            <w:tcBorders>
              <w:top w:val="single" w:sz="12" w:space="0" w:color="auto"/>
              <w:left w:val="single" w:sz="4" w:space="0" w:color="auto"/>
              <w:right w:val="single" w:sz="4" w:space="0" w:color="auto"/>
            </w:tcBorders>
          </w:tcPr>
          <w:p w14:paraId="44F52455" w14:textId="7D163626" w:rsidR="00145197" w:rsidRPr="004A5F05" w:rsidRDefault="00145197" w:rsidP="001D5407">
            <w:pPr>
              <w:rPr>
                <w:rFonts w:ascii="Arial" w:hAnsi="Arial" w:cs="Arial"/>
                <w:b/>
                <w:bCs/>
                <w:noProof/>
                <w:sz w:val="14"/>
                <w:szCs w:val="14"/>
              </w:rPr>
            </w:pPr>
            <w:r w:rsidRPr="004A5F05">
              <w:rPr>
                <w:rFonts w:ascii="Arial" w:hAnsi="Arial" w:cs="Arial"/>
                <w:b/>
                <w:bCs/>
                <w:noProof/>
                <w:sz w:val="14"/>
                <w:szCs w:val="14"/>
              </w:rPr>
              <w:t>202</w:t>
            </w:r>
            <w:r>
              <w:rPr>
                <w:rFonts w:ascii="Arial" w:hAnsi="Arial" w:cs="Arial"/>
                <w:b/>
                <w:bCs/>
                <w:noProof/>
                <w:sz w:val="14"/>
                <w:szCs w:val="14"/>
              </w:rPr>
              <w:t>4</w:t>
            </w:r>
          </w:p>
        </w:tc>
        <w:tc>
          <w:tcPr>
            <w:tcW w:w="709" w:type="dxa"/>
            <w:tcBorders>
              <w:top w:val="single" w:sz="12" w:space="0" w:color="auto"/>
              <w:left w:val="single" w:sz="4" w:space="0" w:color="auto"/>
              <w:right w:val="single" w:sz="4" w:space="0" w:color="auto"/>
            </w:tcBorders>
          </w:tcPr>
          <w:p w14:paraId="0B7FA5C7" w14:textId="1D1693F6" w:rsidR="00145197" w:rsidRPr="004A5F05" w:rsidRDefault="00145197" w:rsidP="001D5407">
            <w:pPr>
              <w:rPr>
                <w:rFonts w:ascii="Arial" w:hAnsi="Arial" w:cs="Arial"/>
                <w:b/>
                <w:bCs/>
                <w:noProof/>
                <w:sz w:val="14"/>
                <w:szCs w:val="14"/>
              </w:rPr>
            </w:pPr>
            <w:r w:rsidRPr="004A5F05">
              <w:rPr>
                <w:rFonts w:ascii="Arial" w:hAnsi="Arial" w:cs="Arial"/>
                <w:b/>
                <w:bCs/>
                <w:noProof/>
                <w:sz w:val="14"/>
                <w:szCs w:val="14"/>
              </w:rPr>
              <w:t>202</w:t>
            </w:r>
            <w:r>
              <w:rPr>
                <w:rFonts w:ascii="Arial" w:hAnsi="Arial" w:cs="Arial"/>
                <w:b/>
                <w:bCs/>
                <w:noProof/>
                <w:sz w:val="14"/>
                <w:szCs w:val="14"/>
              </w:rPr>
              <w:t>5</w:t>
            </w:r>
          </w:p>
        </w:tc>
        <w:tc>
          <w:tcPr>
            <w:tcW w:w="709" w:type="dxa"/>
            <w:tcBorders>
              <w:top w:val="single" w:sz="12" w:space="0" w:color="auto"/>
              <w:left w:val="single" w:sz="4" w:space="0" w:color="auto"/>
              <w:right w:val="single" w:sz="4" w:space="0" w:color="auto"/>
            </w:tcBorders>
          </w:tcPr>
          <w:p w14:paraId="3B076F0D" w14:textId="094CE2ED" w:rsidR="00145197" w:rsidRPr="004A5F05" w:rsidRDefault="00145197" w:rsidP="001D5407">
            <w:pPr>
              <w:rPr>
                <w:rFonts w:ascii="Arial" w:hAnsi="Arial" w:cs="Arial"/>
                <w:b/>
                <w:bCs/>
                <w:noProof/>
                <w:sz w:val="14"/>
                <w:szCs w:val="14"/>
              </w:rPr>
            </w:pPr>
            <w:r w:rsidRPr="004A5F05">
              <w:rPr>
                <w:rFonts w:ascii="Arial" w:hAnsi="Arial" w:cs="Arial"/>
                <w:b/>
                <w:bCs/>
                <w:noProof/>
                <w:sz w:val="14"/>
                <w:szCs w:val="14"/>
              </w:rPr>
              <w:t>202</w:t>
            </w:r>
            <w:r>
              <w:rPr>
                <w:rFonts w:ascii="Arial" w:hAnsi="Arial" w:cs="Arial"/>
                <w:b/>
                <w:bCs/>
                <w:noProof/>
                <w:sz w:val="14"/>
                <w:szCs w:val="14"/>
              </w:rPr>
              <w:t>6</w:t>
            </w:r>
          </w:p>
        </w:tc>
        <w:tc>
          <w:tcPr>
            <w:tcW w:w="708" w:type="dxa"/>
            <w:tcBorders>
              <w:top w:val="single" w:sz="12" w:space="0" w:color="auto"/>
              <w:left w:val="single" w:sz="4" w:space="0" w:color="auto"/>
              <w:right w:val="single" w:sz="12" w:space="0" w:color="auto"/>
            </w:tcBorders>
          </w:tcPr>
          <w:p w14:paraId="3C32665B" w14:textId="12B2B904" w:rsidR="00145197" w:rsidRPr="004A5F05" w:rsidRDefault="00145197" w:rsidP="001D5407">
            <w:pPr>
              <w:rPr>
                <w:rFonts w:ascii="Arial" w:hAnsi="Arial" w:cs="Arial"/>
                <w:b/>
                <w:bCs/>
                <w:noProof/>
                <w:sz w:val="14"/>
                <w:szCs w:val="14"/>
              </w:rPr>
            </w:pPr>
            <w:r w:rsidRPr="004A5F05">
              <w:rPr>
                <w:rFonts w:ascii="Arial" w:hAnsi="Arial" w:cs="Arial"/>
                <w:b/>
                <w:bCs/>
                <w:noProof/>
                <w:sz w:val="14"/>
                <w:szCs w:val="14"/>
              </w:rPr>
              <w:t>202</w:t>
            </w:r>
            <w:r>
              <w:rPr>
                <w:rFonts w:ascii="Arial" w:hAnsi="Arial" w:cs="Arial"/>
                <w:b/>
                <w:bCs/>
                <w:noProof/>
                <w:sz w:val="14"/>
                <w:szCs w:val="14"/>
              </w:rPr>
              <w:t>7</w:t>
            </w:r>
          </w:p>
        </w:tc>
        <w:tc>
          <w:tcPr>
            <w:tcW w:w="8789" w:type="dxa"/>
            <w:tcBorders>
              <w:top w:val="single" w:sz="12" w:space="0" w:color="auto"/>
              <w:left w:val="single" w:sz="12" w:space="0" w:color="auto"/>
              <w:right w:val="single" w:sz="4" w:space="0" w:color="auto"/>
            </w:tcBorders>
          </w:tcPr>
          <w:p w14:paraId="4730C97F" w14:textId="43710600" w:rsidR="00145197" w:rsidRPr="00984669" w:rsidRDefault="00145197" w:rsidP="001D5407">
            <w:pPr>
              <w:rPr>
                <w:rFonts w:ascii="Arial" w:hAnsi="Arial" w:cs="Arial"/>
                <w:i/>
                <w:iCs/>
                <w:color w:val="FF0000"/>
                <w:sz w:val="16"/>
                <w:szCs w:val="16"/>
              </w:rPr>
            </w:pPr>
            <w:r w:rsidRPr="00984669">
              <w:rPr>
                <w:rFonts w:ascii="Arial" w:hAnsi="Arial" w:cs="Arial"/>
                <w:b/>
                <w:bCs/>
                <w:noProof/>
                <w:sz w:val="16"/>
                <w:szCs w:val="16"/>
              </w:rPr>
              <w:t>Phases</w:t>
            </w:r>
            <w:r>
              <w:rPr>
                <w:rFonts w:ascii="Arial" w:hAnsi="Arial" w:cs="Arial"/>
                <w:sz w:val="8"/>
                <w:szCs w:val="8"/>
              </w:rPr>
              <w:t xml:space="preserve">  </w:t>
            </w:r>
          </w:p>
        </w:tc>
        <w:tc>
          <w:tcPr>
            <w:tcW w:w="709" w:type="dxa"/>
            <w:tcBorders>
              <w:top w:val="single" w:sz="12" w:space="0" w:color="auto"/>
              <w:left w:val="single" w:sz="4" w:space="0" w:color="auto"/>
              <w:bottom w:val="single" w:sz="4" w:space="0" w:color="auto"/>
              <w:right w:val="single" w:sz="4" w:space="0" w:color="auto"/>
            </w:tcBorders>
          </w:tcPr>
          <w:p w14:paraId="35AEEFBE" w14:textId="66597588" w:rsidR="00145197" w:rsidRPr="0098727B" w:rsidRDefault="00145197" w:rsidP="001D5407">
            <w:pPr>
              <w:rPr>
                <w:rFonts w:ascii="Arial" w:hAnsi="Arial" w:cs="Arial"/>
                <w:i/>
                <w:iCs/>
                <w:color w:val="FF0000"/>
                <w:sz w:val="16"/>
                <w:szCs w:val="16"/>
              </w:rPr>
            </w:pPr>
            <w:r w:rsidRPr="004A5F05">
              <w:rPr>
                <w:rFonts w:ascii="Arial" w:hAnsi="Arial" w:cs="Arial"/>
                <w:b/>
                <w:bCs/>
                <w:noProof/>
                <w:sz w:val="14"/>
                <w:szCs w:val="14"/>
              </w:rPr>
              <w:t>202</w:t>
            </w:r>
            <w:r>
              <w:rPr>
                <w:rFonts w:ascii="Arial" w:hAnsi="Arial" w:cs="Arial"/>
                <w:b/>
                <w:bCs/>
                <w:noProof/>
                <w:sz w:val="14"/>
                <w:szCs w:val="14"/>
              </w:rPr>
              <w:t>4</w:t>
            </w:r>
          </w:p>
        </w:tc>
        <w:tc>
          <w:tcPr>
            <w:tcW w:w="708" w:type="dxa"/>
            <w:tcBorders>
              <w:top w:val="single" w:sz="12" w:space="0" w:color="auto"/>
              <w:left w:val="single" w:sz="4" w:space="0" w:color="auto"/>
              <w:bottom w:val="single" w:sz="4" w:space="0" w:color="auto"/>
              <w:right w:val="single" w:sz="4" w:space="0" w:color="auto"/>
            </w:tcBorders>
          </w:tcPr>
          <w:p w14:paraId="1330275D" w14:textId="18B660FB" w:rsidR="00145197" w:rsidRPr="0098727B" w:rsidRDefault="00145197" w:rsidP="001D5407">
            <w:pPr>
              <w:rPr>
                <w:rFonts w:ascii="Arial" w:hAnsi="Arial" w:cs="Arial"/>
                <w:i/>
                <w:iCs/>
                <w:color w:val="FF0000"/>
                <w:sz w:val="16"/>
                <w:szCs w:val="16"/>
              </w:rPr>
            </w:pPr>
            <w:r>
              <w:rPr>
                <w:rFonts w:ascii="Arial" w:hAnsi="Arial" w:cs="Arial"/>
                <w:b/>
                <w:bCs/>
                <w:noProof/>
                <w:sz w:val="14"/>
                <w:szCs w:val="14"/>
              </w:rPr>
              <w:t>2025</w:t>
            </w:r>
          </w:p>
        </w:tc>
        <w:tc>
          <w:tcPr>
            <w:tcW w:w="709" w:type="dxa"/>
            <w:tcBorders>
              <w:top w:val="single" w:sz="12" w:space="0" w:color="auto"/>
              <w:left w:val="single" w:sz="4" w:space="0" w:color="auto"/>
              <w:bottom w:val="single" w:sz="4" w:space="0" w:color="auto"/>
              <w:right w:val="single" w:sz="4" w:space="0" w:color="auto"/>
            </w:tcBorders>
          </w:tcPr>
          <w:p w14:paraId="3962DE5F" w14:textId="24720620" w:rsidR="00145197" w:rsidRPr="0098727B" w:rsidRDefault="00145197" w:rsidP="001D5407">
            <w:pPr>
              <w:rPr>
                <w:rFonts w:ascii="Arial" w:hAnsi="Arial" w:cs="Arial"/>
                <w:i/>
                <w:iCs/>
                <w:color w:val="FF0000"/>
                <w:sz w:val="16"/>
                <w:szCs w:val="16"/>
              </w:rPr>
            </w:pPr>
            <w:r w:rsidRPr="004A5F05">
              <w:rPr>
                <w:rFonts w:ascii="Arial" w:hAnsi="Arial" w:cs="Arial"/>
                <w:b/>
                <w:bCs/>
                <w:noProof/>
                <w:sz w:val="14"/>
                <w:szCs w:val="14"/>
              </w:rPr>
              <w:t>202</w:t>
            </w:r>
            <w:r>
              <w:rPr>
                <w:rFonts w:ascii="Arial" w:hAnsi="Arial" w:cs="Arial"/>
                <w:b/>
                <w:bCs/>
                <w:noProof/>
                <w:sz w:val="14"/>
                <w:szCs w:val="14"/>
              </w:rPr>
              <w:t>6</w:t>
            </w:r>
          </w:p>
        </w:tc>
        <w:tc>
          <w:tcPr>
            <w:tcW w:w="719" w:type="dxa"/>
            <w:tcBorders>
              <w:top w:val="single" w:sz="12" w:space="0" w:color="auto"/>
              <w:left w:val="single" w:sz="4" w:space="0" w:color="auto"/>
              <w:bottom w:val="single" w:sz="4" w:space="0" w:color="auto"/>
              <w:right w:val="single" w:sz="12" w:space="0" w:color="auto"/>
            </w:tcBorders>
          </w:tcPr>
          <w:p w14:paraId="0072A85C" w14:textId="368F7C44" w:rsidR="00145197" w:rsidRDefault="00145197" w:rsidP="001D5407">
            <w:pPr>
              <w:rPr>
                <w:rFonts w:ascii="Arial" w:hAnsi="Arial" w:cs="Arial"/>
                <w:b/>
                <w:bCs/>
                <w:noProof/>
              </w:rPr>
            </w:pPr>
            <w:r w:rsidRPr="004A5F05">
              <w:rPr>
                <w:rFonts w:ascii="Arial" w:hAnsi="Arial" w:cs="Arial"/>
                <w:b/>
                <w:bCs/>
                <w:noProof/>
                <w:sz w:val="14"/>
                <w:szCs w:val="14"/>
              </w:rPr>
              <w:t>202</w:t>
            </w:r>
            <w:r>
              <w:rPr>
                <w:rFonts w:ascii="Arial" w:hAnsi="Arial" w:cs="Arial"/>
                <w:b/>
                <w:bCs/>
                <w:noProof/>
                <w:sz w:val="14"/>
                <w:szCs w:val="14"/>
              </w:rPr>
              <w:t>7</w:t>
            </w:r>
          </w:p>
        </w:tc>
      </w:tr>
      <w:tr w:rsidR="00145197" w:rsidRPr="00101910" w14:paraId="4E9C07D6" w14:textId="77777777" w:rsidTr="001D5407">
        <w:trPr>
          <w:trHeight w:val="111"/>
        </w:trPr>
        <w:tc>
          <w:tcPr>
            <w:tcW w:w="8490" w:type="dxa"/>
            <w:tcBorders>
              <w:left w:val="single" w:sz="12" w:space="0" w:color="auto"/>
              <w:right w:val="single" w:sz="4" w:space="0" w:color="auto"/>
            </w:tcBorders>
          </w:tcPr>
          <w:p w14:paraId="00EA1572" w14:textId="28AF590E" w:rsidR="00145197" w:rsidRPr="004A5F05" w:rsidRDefault="00145197" w:rsidP="001D5407">
            <w:pPr>
              <w:rPr>
                <w:rFonts w:ascii="Arial" w:hAnsi="Arial" w:cs="Arial"/>
                <w:noProof/>
                <w:sz w:val="14"/>
                <w:szCs w:val="14"/>
              </w:rPr>
            </w:pPr>
            <w:r w:rsidRPr="004A5F05">
              <w:rPr>
                <w:rFonts w:ascii="Arial" w:hAnsi="Arial" w:cs="Arial"/>
                <w:noProof/>
                <w:sz w:val="14"/>
                <w:szCs w:val="14"/>
              </w:rPr>
              <w:t>Developing</w:t>
            </w:r>
          </w:p>
        </w:tc>
        <w:tc>
          <w:tcPr>
            <w:tcW w:w="709" w:type="dxa"/>
            <w:tcBorders>
              <w:left w:val="single" w:sz="4" w:space="0" w:color="auto"/>
              <w:right w:val="single" w:sz="4" w:space="0" w:color="auto"/>
            </w:tcBorders>
            <w:vAlign w:val="center"/>
          </w:tcPr>
          <w:p w14:paraId="3AC74766" w14:textId="027AB618" w:rsidR="00145197" w:rsidRPr="00E32BCA" w:rsidRDefault="00E32BCA" w:rsidP="001D5407">
            <w:pPr>
              <w:jc w:val="center"/>
              <w:rPr>
                <w:rFonts w:ascii="Arial" w:hAnsi="Arial" w:cs="Arial"/>
                <w:b/>
                <w:bCs/>
                <w:noProof/>
                <w:sz w:val="20"/>
                <w:szCs w:val="20"/>
              </w:rPr>
            </w:pPr>
            <w:r w:rsidRPr="00E32BCA">
              <w:rPr>
                <w:rFonts w:ascii="Arial" w:hAnsi="Arial" w:cs="Arial"/>
                <w:b/>
                <w:bCs/>
                <w:noProof/>
                <w:sz w:val="20"/>
                <w:szCs w:val="20"/>
              </w:rPr>
              <w:t>x</w:t>
            </w:r>
          </w:p>
        </w:tc>
        <w:tc>
          <w:tcPr>
            <w:tcW w:w="709" w:type="dxa"/>
            <w:tcBorders>
              <w:left w:val="single" w:sz="4" w:space="0" w:color="auto"/>
              <w:right w:val="single" w:sz="4" w:space="0" w:color="auto"/>
            </w:tcBorders>
            <w:vAlign w:val="center"/>
          </w:tcPr>
          <w:p w14:paraId="0A0AF8B0" w14:textId="77777777" w:rsidR="00145197" w:rsidRPr="00E32BCA" w:rsidRDefault="00145197" w:rsidP="001D5407">
            <w:pPr>
              <w:jc w:val="center"/>
              <w:rPr>
                <w:rFonts w:ascii="Arial" w:hAnsi="Arial" w:cs="Arial"/>
                <w:b/>
                <w:bCs/>
                <w:noProof/>
                <w:sz w:val="20"/>
                <w:szCs w:val="20"/>
              </w:rPr>
            </w:pPr>
          </w:p>
        </w:tc>
        <w:tc>
          <w:tcPr>
            <w:tcW w:w="709" w:type="dxa"/>
            <w:tcBorders>
              <w:left w:val="single" w:sz="4" w:space="0" w:color="auto"/>
              <w:right w:val="single" w:sz="4" w:space="0" w:color="auto"/>
            </w:tcBorders>
            <w:vAlign w:val="center"/>
          </w:tcPr>
          <w:p w14:paraId="61F3293D" w14:textId="77777777" w:rsidR="00145197" w:rsidRPr="00E32BCA" w:rsidRDefault="00145197" w:rsidP="001D5407">
            <w:pPr>
              <w:jc w:val="center"/>
              <w:rPr>
                <w:rFonts w:ascii="Arial" w:hAnsi="Arial" w:cs="Arial"/>
                <w:b/>
                <w:bCs/>
                <w:noProof/>
                <w:sz w:val="20"/>
                <w:szCs w:val="20"/>
              </w:rPr>
            </w:pPr>
          </w:p>
        </w:tc>
        <w:tc>
          <w:tcPr>
            <w:tcW w:w="708" w:type="dxa"/>
            <w:tcBorders>
              <w:left w:val="single" w:sz="4" w:space="0" w:color="auto"/>
              <w:right w:val="single" w:sz="12" w:space="0" w:color="auto"/>
            </w:tcBorders>
            <w:vAlign w:val="center"/>
          </w:tcPr>
          <w:p w14:paraId="5DE5A977" w14:textId="77777777" w:rsidR="00145197" w:rsidRPr="00FF1464" w:rsidRDefault="00145197" w:rsidP="001D5407">
            <w:pPr>
              <w:jc w:val="center"/>
              <w:rPr>
                <w:rFonts w:ascii="Arial" w:hAnsi="Arial" w:cs="Arial"/>
                <w:b/>
                <w:bCs/>
                <w:noProof/>
                <w:sz w:val="20"/>
                <w:szCs w:val="20"/>
              </w:rPr>
            </w:pPr>
          </w:p>
        </w:tc>
        <w:tc>
          <w:tcPr>
            <w:tcW w:w="8789" w:type="dxa"/>
            <w:tcBorders>
              <w:top w:val="single" w:sz="4" w:space="0" w:color="auto"/>
              <w:left w:val="single" w:sz="12" w:space="0" w:color="auto"/>
              <w:right w:val="single" w:sz="4" w:space="0" w:color="auto"/>
            </w:tcBorders>
          </w:tcPr>
          <w:p w14:paraId="4764491D" w14:textId="21A9075F" w:rsidR="00145197" w:rsidRPr="00984669" w:rsidRDefault="00145197" w:rsidP="001D5407">
            <w:pPr>
              <w:rPr>
                <w:rFonts w:ascii="Arial" w:hAnsi="Arial" w:cs="Arial"/>
                <w:b/>
                <w:bCs/>
                <w:noProof/>
                <w:sz w:val="14"/>
                <w:szCs w:val="14"/>
              </w:rPr>
            </w:pPr>
            <w:r w:rsidRPr="00984669">
              <w:rPr>
                <w:rFonts w:ascii="Arial" w:hAnsi="Arial" w:cs="Arial"/>
                <w:noProof/>
                <w:sz w:val="14"/>
                <w:szCs w:val="14"/>
              </w:rPr>
              <w:t>Developing</w:t>
            </w:r>
          </w:p>
        </w:tc>
        <w:tc>
          <w:tcPr>
            <w:tcW w:w="709" w:type="dxa"/>
            <w:tcBorders>
              <w:top w:val="single" w:sz="4" w:space="0" w:color="auto"/>
              <w:left w:val="single" w:sz="4" w:space="0" w:color="auto"/>
              <w:bottom w:val="single" w:sz="4" w:space="0" w:color="auto"/>
              <w:right w:val="single" w:sz="4" w:space="0" w:color="auto"/>
            </w:tcBorders>
            <w:vAlign w:val="center"/>
          </w:tcPr>
          <w:p w14:paraId="4F4F8F1D" w14:textId="38A872F6" w:rsidR="00145197" w:rsidRPr="003C2414" w:rsidRDefault="00E32BCA" w:rsidP="001D5407">
            <w:pPr>
              <w:jc w:val="center"/>
              <w:rPr>
                <w:rFonts w:ascii="Arial" w:hAnsi="Arial" w:cs="Arial"/>
                <w:b/>
                <w:bCs/>
                <w:noProof/>
                <w:sz w:val="20"/>
                <w:szCs w:val="20"/>
              </w:rPr>
            </w:pPr>
            <w:r>
              <w:rPr>
                <w:rFonts w:ascii="Arial" w:hAnsi="Arial" w:cs="Arial"/>
                <w:b/>
                <w:bCs/>
                <w:noProof/>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tcPr>
          <w:p w14:paraId="3A321F61" w14:textId="43F35458" w:rsidR="00145197" w:rsidRPr="00FF1464" w:rsidRDefault="00145197" w:rsidP="001D5407">
            <w:pPr>
              <w:jc w:val="center"/>
              <w:rPr>
                <w:rFonts w:ascii="Arial" w:hAnsi="Arial" w:cs="Arial"/>
                <w:b/>
                <w:bCs/>
                <w:noProo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EAAFE5" w14:textId="77777777" w:rsidR="00145197" w:rsidRPr="00FF1464" w:rsidRDefault="00145197" w:rsidP="001D5407">
            <w:pPr>
              <w:jc w:val="center"/>
              <w:rPr>
                <w:rFonts w:ascii="Arial" w:hAnsi="Arial" w:cs="Arial"/>
                <w:b/>
                <w:bCs/>
                <w:noProof/>
                <w:sz w:val="20"/>
                <w:szCs w:val="20"/>
              </w:rPr>
            </w:pPr>
          </w:p>
        </w:tc>
        <w:tc>
          <w:tcPr>
            <w:tcW w:w="719" w:type="dxa"/>
            <w:tcBorders>
              <w:top w:val="single" w:sz="4" w:space="0" w:color="auto"/>
              <w:left w:val="single" w:sz="4" w:space="0" w:color="auto"/>
              <w:bottom w:val="single" w:sz="4" w:space="0" w:color="auto"/>
              <w:right w:val="single" w:sz="12" w:space="0" w:color="auto"/>
            </w:tcBorders>
            <w:vAlign w:val="center"/>
          </w:tcPr>
          <w:p w14:paraId="4687462D" w14:textId="77777777" w:rsidR="00145197" w:rsidRPr="00FF1464" w:rsidRDefault="00145197" w:rsidP="001D5407">
            <w:pPr>
              <w:jc w:val="center"/>
              <w:rPr>
                <w:rFonts w:ascii="Arial" w:hAnsi="Arial" w:cs="Arial"/>
                <w:b/>
                <w:bCs/>
                <w:noProof/>
                <w:sz w:val="20"/>
                <w:szCs w:val="20"/>
              </w:rPr>
            </w:pPr>
          </w:p>
        </w:tc>
      </w:tr>
      <w:tr w:rsidR="00145197" w:rsidRPr="00101910" w14:paraId="4EC867CD" w14:textId="77777777" w:rsidTr="001D5407">
        <w:trPr>
          <w:trHeight w:val="50"/>
        </w:trPr>
        <w:tc>
          <w:tcPr>
            <w:tcW w:w="8490" w:type="dxa"/>
            <w:tcBorders>
              <w:left w:val="single" w:sz="12" w:space="0" w:color="auto"/>
              <w:right w:val="single" w:sz="4" w:space="0" w:color="auto"/>
            </w:tcBorders>
          </w:tcPr>
          <w:p w14:paraId="38C5CE34" w14:textId="08D9C6D3" w:rsidR="00145197" w:rsidRPr="004A5F05" w:rsidRDefault="00145197" w:rsidP="001D5407">
            <w:pPr>
              <w:rPr>
                <w:rFonts w:ascii="Arial" w:hAnsi="Arial" w:cs="Arial"/>
                <w:noProof/>
                <w:sz w:val="14"/>
                <w:szCs w:val="14"/>
              </w:rPr>
            </w:pPr>
            <w:r w:rsidRPr="004A5F05">
              <w:rPr>
                <w:rFonts w:ascii="Arial" w:hAnsi="Arial" w:cs="Arial"/>
                <w:noProof/>
                <w:sz w:val="14"/>
                <w:szCs w:val="14"/>
              </w:rPr>
              <w:t>Implementing</w:t>
            </w:r>
          </w:p>
        </w:tc>
        <w:tc>
          <w:tcPr>
            <w:tcW w:w="709" w:type="dxa"/>
            <w:tcBorders>
              <w:left w:val="single" w:sz="4" w:space="0" w:color="auto"/>
              <w:right w:val="single" w:sz="4" w:space="0" w:color="auto"/>
            </w:tcBorders>
            <w:vAlign w:val="center"/>
          </w:tcPr>
          <w:p w14:paraId="6490A11E" w14:textId="77777777" w:rsidR="00145197" w:rsidRPr="00E32BCA" w:rsidRDefault="00145197" w:rsidP="001D5407">
            <w:pPr>
              <w:jc w:val="center"/>
              <w:rPr>
                <w:rFonts w:ascii="Arial" w:hAnsi="Arial" w:cs="Arial"/>
                <w:b/>
                <w:bCs/>
                <w:noProof/>
                <w:sz w:val="20"/>
                <w:szCs w:val="20"/>
              </w:rPr>
            </w:pPr>
          </w:p>
        </w:tc>
        <w:tc>
          <w:tcPr>
            <w:tcW w:w="709" w:type="dxa"/>
            <w:tcBorders>
              <w:left w:val="single" w:sz="4" w:space="0" w:color="auto"/>
              <w:right w:val="single" w:sz="4" w:space="0" w:color="auto"/>
            </w:tcBorders>
            <w:vAlign w:val="center"/>
          </w:tcPr>
          <w:p w14:paraId="1B81DC55" w14:textId="22E47CA0" w:rsidR="00145197" w:rsidRPr="00E32BCA" w:rsidRDefault="00E32BCA" w:rsidP="001D5407">
            <w:pPr>
              <w:jc w:val="center"/>
              <w:rPr>
                <w:rFonts w:ascii="Arial" w:hAnsi="Arial" w:cs="Arial"/>
                <w:b/>
                <w:bCs/>
                <w:noProof/>
                <w:sz w:val="20"/>
                <w:szCs w:val="20"/>
              </w:rPr>
            </w:pPr>
            <w:r w:rsidRPr="00E32BCA">
              <w:rPr>
                <w:rFonts w:ascii="Arial" w:hAnsi="Arial" w:cs="Arial"/>
                <w:b/>
                <w:bCs/>
                <w:noProof/>
                <w:sz w:val="20"/>
                <w:szCs w:val="20"/>
              </w:rPr>
              <w:t>x</w:t>
            </w:r>
          </w:p>
        </w:tc>
        <w:tc>
          <w:tcPr>
            <w:tcW w:w="709" w:type="dxa"/>
            <w:tcBorders>
              <w:left w:val="single" w:sz="4" w:space="0" w:color="auto"/>
              <w:right w:val="single" w:sz="4" w:space="0" w:color="auto"/>
            </w:tcBorders>
            <w:vAlign w:val="center"/>
          </w:tcPr>
          <w:p w14:paraId="5FEE79F3" w14:textId="09D56309" w:rsidR="00145197" w:rsidRPr="00E32BCA" w:rsidRDefault="00E32BCA" w:rsidP="001D5407">
            <w:pPr>
              <w:jc w:val="center"/>
              <w:rPr>
                <w:rFonts w:ascii="Arial" w:hAnsi="Arial" w:cs="Arial"/>
                <w:b/>
                <w:bCs/>
                <w:noProof/>
                <w:sz w:val="20"/>
                <w:szCs w:val="20"/>
              </w:rPr>
            </w:pPr>
            <w:r w:rsidRPr="00E32BCA">
              <w:rPr>
                <w:rFonts w:ascii="Arial" w:hAnsi="Arial" w:cs="Arial"/>
                <w:b/>
                <w:bCs/>
                <w:noProof/>
                <w:sz w:val="20"/>
                <w:szCs w:val="20"/>
              </w:rPr>
              <w:t>x</w:t>
            </w:r>
          </w:p>
        </w:tc>
        <w:tc>
          <w:tcPr>
            <w:tcW w:w="708" w:type="dxa"/>
            <w:tcBorders>
              <w:left w:val="single" w:sz="4" w:space="0" w:color="auto"/>
              <w:right w:val="single" w:sz="12" w:space="0" w:color="auto"/>
            </w:tcBorders>
            <w:vAlign w:val="center"/>
          </w:tcPr>
          <w:p w14:paraId="5FBD82CF" w14:textId="77777777" w:rsidR="00145197" w:rsidRPr="00FF1464" w:rsidRDefault="00145197" w:rsidP="001D5407">
            <w:pPr>
              <w:jc w:val="center"/>
              <w:rPr>
                <w:rFonts w:ascii="Arial" w:hAnsi="Arial" w:cs="Arial"/>
                <w:b/>
                <w:bCs/>
                <w:noProof/>
                <w:sz w:val="20"/>
                <w:szCs w:val="20"/>
              </w:rPr>
            </w:pPr>
          </w:p>
        </w:tc>
        <w:tc>
          <w:tcPr>
            <w:tcW w:w="8789" w:type="dxa"/>
            <w:tcBorders>
              <w:top w:val="single" w:sz="4" w:space="0" w:color="auto"/>
              <w:left w:val="single" w:sz="12" w:space="0" w:color="auto"/>
              <w:right w:val="single" w:sz="4" w:space="0" w:color="auto"/>
            </w:tcBorders>
          </w:tcPr>
          <w:p w14:paraId="51FCA455" w14:textId="6750CB4F" w:rsidR="00145197" w:rsidRPr="00984669" w:rsidRDefault="00145197" w:rsidP="001D5407">
            <w:pPr>
              <w:rPr>
                <w:rFonts w:ascii="Arial" w:hAnsi="Arial" w:cs="Arial"/>
                <w:b/>
                <w:bCs/>
                <w:noProof/>
                <w:sz w:val="14"/>
                <w:szCs w:val="14"/>
              </w:rPr>
            </w:pPr>
            <w:r w:rsidRPr="00984669">
              <w:rPr>
                <w:rFonts w:ascii="Arial" w:hAnsi="Arial" w:cs="Arial"/>
                <w:noProof/>
                <w:sz w:val="14"/>
                <w:szCs w:val="14"/>
              </w:rPr>
              <w:t>Implementing</w:t>
            </w:r>
          </w:p>
        </w:tc>
        <w:tc>
          <w:tcPr>
            <w:tcW w:w="709" w:type="dxa"/>
            <w:tcBorders>
              <w:top w:val="single" w:sz="4" w:space="0" w:color="auto"/>
              <w:left w:val="single" w:sz="4" w:space="0" w:color="auto"/>
              <w:bottom w:val="single" w:sz="4" w:space="0" w:color="auto"/>
              <w:right w:val="single" w:sz="4" w:space="0" w:color="auto"/>
            </w:tcBorders>
            <w:vAlign w:val="center"/>
          </w:tcPr>
          <w:p w14:paraId="22F63E53" w14:textId="6A7FBF98" w:rsidR="00145197" w:rsidRPr="003C2414" w:rsidRDefault="00E32BCA" w:rsidP="001D5407">
            <w:pPr>
              <w:jc w:val="center"/>
              <w:rPr>
                <w:rFonts w:ascii="Arial" w:hAnsi="Arial" w:cs="Arial"/>
                <w:b/>
                <w:bCs/>
                <w:noProof/>
                <w:sz w:val="20"/>
                <w:szCs w:val="20"/>
              </w:rPr>
            </w:pPr>
            <w:r>
              <w:rPr>
                <w:rFonts w:ascii="Arial" w:hAnsi="Arial" w:cs="Arial"/>
                <w:b/>
                <w:bCs/>
                <w:noProof/>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tcPr>
          <w:p w14:paraId="5BC1C62D" w14:textId="41E61FA2" w:rsidR="00145197" w:rsidRPr="003C2414" w:rsidRDefault="00E32BCA" w:rsidP="001D5407">
            <w:pPr>
              <w:jc w:val="center"/>
              <w:rPr>
                <w:rFonts w:ascii="Arial" w:hAnsi="Arial" w:cs="Arial"/>
                <w:b/>
                <w:bCs/>
                <w:noProof/>
                <w:sz w:val="20"/>
                <w:szCs w:val="20"/>
              </w:rPr>
            </w:pPr>
            <w:r>
              <w:rPr>
                <w:rFonts w:ascii="Arial" w:hAnsi="Arial" w:cs="Arial"/>
                <w:b/>
                <w:bCs/>
                <w:noProof/>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tcPr>
          <w:p w14:paraId="33DC85E3" w14:textId="34585588" w:rsidR="00145197" w:rsidRPr="003C2414" w:rsidRDefault="00E32BCA" w:rsidP="001D5407">
            <w:pPr>
              <w:jc w:val="center"/>
              <w:rPr>
                <w:rFonts w:ascii="Arial" w:hAnsi="Arial" w:cs="Arial"/>
                <w:b/>
                <w:bCs/>
                <w:noProof/>
                <w:sz w:val="20"/>
                <w:szCs w:val="20"/>
              </w:rPr>
            </w:pPr>
            <w:r>
              <w:rPr>
                <w:rFonts w:ascii="Arial" w:hAnsi="Arial" w:cs="Arial"/>
                <w:b/>
                <w:bCs/>
                <w:noProof/>
                <w:sz w:val="20"/>
                <w:szCs w:val="20"/>
              </w:rPr>
              <w:t>x</w:t>
            </w:r>
          </w:p>
        </w:tc>
        <w:tc>
          <w:tcPr>
            <w:tcW w:w="719" w:type="dxa"/>
            <w:tcBorders>
              <w:top w:val="single" w:sz="4" w:space="0" w:color="auto"/>
              <w:left w:val="single" w:sz="4" w:space="0" w:color="auto"/>
              <w:bottom w:val="single" w:sz="4" w:space="0" w:color="auto"/>
              <w:right w:val="single" w:sz="12" w:space="0" w:color="auto"/>
            </w:tcBorders>
            <w:vAlign w:val="center"/>
          </w:tcPr>
          <w:p w14:paraId="5822EC19" w14:textId="3BD6076A" w:rsidR="00145197" w:rsidRPr="003C2414" w:rsidRDefault="00E32BCA" w:rsidP="001D5407">
            <w:pPr>
              <w:jc w:val="center"/>
              <w:rPr>
                <w:rFonts w:ascii="Arial" w:hAnsi="Arial" w:cs="Arial"/>
                <w:b/>
                <w:bCs/>
                <w:noProof/>
                <w:sz w:val="20"/>
                <w:szCs w:val="20"/>
              </w:rPr>
            </w:pPr>
            <w:r>
              <w:rPr>
                <w:rFonts w:ascii="Arial" w:hAnsi="Arial" w:cs="Arial"/>
                <w:b/>
                <w:bCs/>
                <w:noProof/>
                <w:sz w:val="20"/>
                <w:szCs w:val="20"/>
              </w:rPr>
              <w:t>x</w:t>
            </w:r>
          </w:p>
        </w:tc>
      </w:tr>
      <w:tr w:rsidR="00145197" w:rsidRPr="00101910" w14:paraId="72023CC0" w14:textId="77777777" w:rsidTr="001D5407">
        <w:trPr>
          <w:trHeight w:val="50"/>
        </w:trPr>
        <w:tc>
          <w:tcPr>
            <w:tcW w:w="8490" w:type="dxa"/>
            <w:tcBorders>
              <w:left w:val="single" w:sz="12" w:space="0" w:color="auto"/>
              <w:right w:val="single" w:sz="4" w:space="0" w:color="auto"/>
            </w:tcBorders>
          </w:tcPr>
          <w:p w14:paraId="7869466C" w14:textId="6B4EF7A8" w:rsidR="00145197" w:rsidRPr="004A5F05" w:rsidRDefault="00145197" w:rsidP="001D5407">
            <w:pPr>
              <w:rPr>
                <w:rFonts w:ascii="Arial" w:hAnsi="Arial" w:cs="Arial"/>
                <w:noProof/>
                <w:sz w:val="14"/>
                <w:szCs w:val="14"/>
              </w:rPr>
            </w:pPr>
            <w:r w:rsidRPr="004A5F05">
              <w:rPr>
                <w:rFonts w:ascii="Arial" w:hAnsi="Arial" w:cs="Arial"/>
                <w:noProof/>
                <w:sz w:val="14"/>
                <w:szCs w:val="14"/>
              </w:rPr>
              <w:t>Embedding</w:t>
            </w:r>
          </w:p>
        </w:tc>
        <w:tc>
          <w:tcPr>
            <w:tcW w:w="709" w:type="dxa"/>
            <w:tcBorders>
              <w:left w:val="single" w:sz="4" w:space="0" w:color="auto"/>
              <w:right w:val="single" w:sz="4" w:space="0" w:color="auto"/>
            </w:tcBorders>
            <w:vAlign w:val="center"/>
          </w:tcPr>
          <w:p w14:paraId="0BB5E409" w14:textId="77777777" w:rsidR="00145197" w:rsidRPr="004A5F05" w:rsidRDefault="00145197" w:rsidP="001D5407">
            <w:pPr>
              <w:jc w:val="center"/>
              <w:rPr>
                <w:rFonts w:ascii="Arial" w:hAnsi="Arial" w:cs="Arial"/>
                <w:b/>
                <w:bCs/>
                <w:noProof/>
                <w:sz w:val="14"/>
                <w:szCs w:val="14"/>
              </w:rPr>
            </w:pPr>
          </w:p>
        </w:tc>
        <w:tc>
          <w:tcPr>
            <w:tcW w:w="709" w:type="dxa"/>
            <w:tcBorders>
              <w:left w:val="single" w:sz="4" w:space="0" w:color="auto"/>
              <w:right w:val="single" w:sz="4" w:space="0" w:color="auto"/>
            </w:tcBorders>
            <w:vAlign w:val="center"/>
          </w:tcPr>
          <w:p w14:paraId="5BF9F6B3" w14:textId="77777777" w:rsidR="00145197" w:rsidRPr="004A5F05" w:rsidRDefault="00145197" w:rsidP="001D5407">
            <w:pPr>
              <w:jc w:val="center"/>
              <w:rPr>
                <w:rFonts w:ascii="Arial" w:hAnsi="Arial" w:cs="Arial"/>
                <w:b/>
                <w:bCs/>
                <w:noProof/>
                <w:sz w:val="14"/>
                <w:szCs w:val="14"/>
              </w:rPr>
            </w:pPr>
          </w:p>
        </w:tc>
        <w:tc>
          <w:tcPr>
            <w:tcW w:w="709" w:type="dxa"/>
            <w:tcBorders>
              <w:left w:val="single" w:sz="4" w:space="0" w:color="auto"/>
              <w:right w:val="single" w:sz="4" w:space="0" w:color="auto"/>
            </w:tcBorders>
            <w:vAlign w:val="center"/>
          </w:tcPr>
          <w:p w14:paraId="1F7A0B2B" w14:textId="6E6A20B9" w:rsidR="00145197" w:rsidRPr="003C2414" w:rsidRDefault="00145197" w:rsidP="001D5407">
            <w:pPr>
              <w:jc w:val="center"/>
              <w:rPr>
                <w:rFonts w:ascii="Arial" w:hAnsi="Arial" w:cs="Arial"/>
                <w:b/>
                <w:bCs/>
                <w:noProof/>
                <w:sz w:val="14"/>
                <w:szCs w:val="14"/>
              </w:rPr>
            </w:pPr>
          </w:p>
        </w:tc>
        <w:tc>
          <w:tcPr>
            <w:tcW w:w="708" w:type="dxa"/>
            <w:tcBorders>
              <w:left w:val="single" w:sz="4" w:space="0" w:color="auto"/>
              <w:right w:val="single" w:sz="12" w:space="0" w:color="auto"/>
            </w:tcBorders>
            <w:vAlign w:val="center"/>
          </w:tcPr>
          <w:p w14:paraId="2E71B911" w14:textId="7D060374" w:rsidR="00145197" w:rsidRPr="00E32BCA" w:rsidRDefault="00E32BCA" w:rsidP="001D5407">
            <w:pPr>
              <w:jc w:val="center"/>
              <w:rPr>
                <w:rFonts w:ascii="Arial" w:hAnsi="Arial" w:cs="Arial"/>
                <w:b/>
                <w:bCs/>
                <w:noProof/>
                <w:sz w:val="20"/>
                <w:szCs w:val="20"/>
              </w:rPr>
            </w:pPr>
            <w:r w:rsidRPr="00E32BCA">
              <w:rPr>
                <w:rFonts w:ascii="Arial" w:hAnsi="Arial" w:cs="Arial"/>
                <w:b/>
                <w:bCs/>
                <w:noProof/>
                <w:sz w:val="20"/>
                <w:szCs w:val="20"/>
              </w:rPr>
              <w:t>x</w:t>
            </w:r>
          </w:p>
        </w:tc>
        <w:tc>
          <w:tcPr>
            <w:tcW w:w="8789" w:type="dxa"/>
            <w:tcBorders>
              <w:top w:val="single" w:sz="4" w:space="0" w:color="auto"/>
              <w:left w:val="single" w:sz="12" w:space="0" w:color="auto"/>
              <w:right w:val="single" w:sz="4" w:space="0" w:color="auto"/>
            </w:tcBorders>
          </w:tcPr>
          <w:p w14:paraId="3183197C" w14:textId="248ECBDC" w:rsidR="00145197" w:rsidRPr="00984669" w:rsidRDefault="00145197" w:rsidP="001D5407">
            <w:pPr>
              <w:rPr>
                <w:rFonts w:ascii="Arial" w:hAnsi="Arial" w:cs="Arial"/>
                <w:b/>
                <w:bCs/>
                <w:sz w:val="14"/>
                <w:szCs w:val="14"/>
              </w:rPr>
            </w:pPr>
            <w:r w:rsidRPr="00984669">
              <w:rPr>
                <w:rFonts w:ascii="Arial" w:hAnsi="Arial" w:cs="Arial"/>
                <w:noProof/>
                <w:sz w:val="14"/>
                <w:szCs w:val="14"/>
              </w:rPr>
              <w:t>Embedding</w:t>
            </w:r>
          </w:p>
        </w:tc>
        <w:tc>
          <w:tcPr>
            <w:tcW w:w="709" w:type="dxa"/>
            <w:tcBorders>
              <w:top w:val="single" w:sz="4" w:space="0" w:color="auto"/>
              <w:left w:val="single" w:sz="4" w:space="0" w:color="auto"/>
              <w:bottom w:val="single" w:sz="4" w:space="0" w:color="auto"/>
              <w:right w:val="single" w:sz="4" w:space="0" w:color="auto"/>
            </w:tcBorders>
            <w:vAlign w:val="center"/>
          </w:tcPr>
          <w:p w14:paraId="74030242" w14:textId="77777777" w:rsidR="00145197" w:rsidRPr="00FF1464" w:rsidRDefault="00145197" w:rsidP="001D5407">
            <w:pPr>
              <w:jc w:val="center"/>
              <w:rPr>
                <w:rFonts w:ascii="Arial" w:hAnsi="Arial" w:cs="Arial"/>
                <w:b/>
                <w:bCs/>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27A956A" w14:textId="2F1F7640" w:rsidR="00145197" w:rsidRPr="003C2414" w:rsidRDefault="00145197" w:rsidP="001D5407">
            <w:pPr>
              <w:jc w:val="center"/>
              <w:rPr>
                <w:rFonts w:ascii="Arial" w:hAnsi="Arial" w:cs="Arial"/>
                <w:b/>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C2CBAA" w14:textId="1CE75283" w:rsidR="00145197" w:rsidRPr="003C2414" w:rsidRDefault="00E32BCA" w:rsidP="001D5407">
            <w:pPr>
              <w:jc w:val="center"/>
              <w:rPr>
                <w:rFonts w:ascii="Arial" w:hAnsi="Arial" w:cs="Arial"/>
                <w:b/>
                <w:bCs/>
                <w:sz w:val="20"/>
                <w:szCs w:val="20"/>
              </w:rPr>
            </w:pPr>
            <w:r>
              <w:rPr>
                <w:rFonts w:ascii="Arial" w:hAnsi="Arial" w:cs="Arial"/>
                <w:b/>
                <w:bCs/>
                <w:sz w:val="20"/>
                <w:szCs w:val="20"/>
              </w:rPr>
              <w:t>x</w:t>
            </w:r>
          </w:p>
        </w:tc>
        <w:tc>
          <w:tcPr>
            <w:tcW w:w="719" w:type="dxa"/>
            <w:tcBorders>
              <w:top w:val="single" w:sz="4" w:space="0" w:color="auto"/>
              <w:left w:val="single" w:sz="4" w:space="0" w:color="auto"/>
              <w:bottom w:val="single" w:sz="4" w:space="0" w:color="auto"/>
              <w:right w:val="single" w:sz="12" w:space="0" w:color="auto"/>
            </w:tcBorders>
            <w:vAlign w:val="center"/>
          </w:tcPr>
          <w:p w14:paraId="261E4322" w14:textId="71553FBB" w:rsidR="00145197" w:rsidRPr="003C2414" w:rsidRDefault="00E32BCA" w:rsidP="001D5407">
            <w:pPr>
              <w:jc w:val="center"/>
              <w:rPr>
                <w:rFonts w:ascii="Arial" w:hAnsi="Arial" w:cs="Arial"/>
                <w:b/>
                <w:bCs/>
                <w:noProof/>
                <w:sz w:val="20"/>
                <w:szCs w:val="20"/>
              </w:rPr>
            </w:pPr>
            <w:r>
              <w:rPr>
                <w:rFonts w:ascii="Arial" w:hAnsi="Arial" w:cs="Arial"/>
                <w:b/>
                <w:bCs/>
                <w:noProof/>
                <w:sz w:val="20"/>
                <w:szCs w:val="20"/>
              </w:rPr>
              <w:t>x</w:t>
            </w:r>
          </w:p>
        </w:tc>
      </w:tr>
      <w:tr w:rsidR="00145197" w14:paraId="792EDFF1" w14:textId="77777777" w:rsidTr="001D5407">
        <w:trPr>
          <w:trHeight w:val="50"/>
        </w:trPr>
        <w:tc>
          <w:tcPr>
            <w:tcW w:w="8490" w:type="dxa"/>
            <w:tcBorders>
              <w:left w:val="single" w:sz="12" w:space="0" w:color="auto"/>
              <w:bottom w:val="single" w:sz="12" w:space="0" w:color="auto"/>
              <w:right w:val="single" w:sz="4" w:space="0" w:color="auto"/>
            </w:tcBorders>
          </w:tcPr>
          <w:p w14:paraId="2B478BA2" w14:textId="4BF1517B" w:rsidR="00145197" w:rsidRPr="004A5F05" w:rsidRDefault="00145197" w:rsidP="001D5407">
            <w:pPr>
              <w:rPr>
                <w:rFonts w:ascii="Arial" w:hAnsi="Arial" w:cs="Arial"/>
                <w:noProof/>
                <w:sz w:val="14"/>
                <w:szCs w:val="14"/>
              </w:rPr>
            </w:pPr>
            <w:r w:rsidRPr="004A5F05">
              <w:rPr>
                <w:rFonts w:ascii="Arial" w:hAnsi="Arial" w:cs="Arial"/>
                <w:noProof/>
                <w:sz w:val="14"/>
                <w:szCs w:val="14"/>
              </w:rPr>
              <w:t>Reviewing</w:t>
            </w:r>
          </w:p>
        </w:tc>
        <w:tc>
          <w:tcPr>
            <w:tcW w:w="709" w:type="dxa"/>
            <w:tcBorders>
              <w:left w:val="single" w:sz="4" w:space="0" w:color="auto"/>
              <w:bottom w:val="single" w:sz="12" w:space="0" w:color="auto"/>
              <w:right w:val="single" w:sz="4" w:space="0" w:color="auto"/>
            </w:tcBorders>
            <w:vAlign w:val="center"/>
          </w:tcPr>
          <w:p w14:paraId="613B788B" w14:textId="77777777" w:rsidR="00145197" w:rsidRPr="004A5F05" w:rsidRDefault="00145197" w:rsidP="001D5407">
            <w:pPr>
              <w:jc w:val="center"/>
              <w:rPr>
                <w:rFonts w:ascii="Arial" w:hAnsi="Arial" w:cs="Arial"/>
                <w:b/>
                <w:bCs/>
                <w:noProof/>
                <w:sz w:val="14"/>
                <w:szCs w:val="14"/>
              </w:rPr>
            </w:pPr>
          </w:p>
        </w:tc>
        <w:tc>
          <w:tcPr>
            <w:tcW w:w="709" w:type="dxa"/>
            <w:tcBorders>
              <w:left w:val="single" w:sz="4" w:space="0" w:color="auto"/>
              <w:bottom w:val="single" w:sz="12" w:space="0" w:color="auto"/>
              <w:right w:val="single" w:sz="4" w:space="0" w:color="auto"/>
            </w:tcBorders>
            <w:vAlign w:val="center"/>
          </w:tcPr>
          <w:p w14:paraId="418C474F" w14:textId="77777777" w:rsidR="00145197" w:rsidRPr="004A5F05" w:rsidRDefault="00145197" w:rsidP="001D5407">
            <w:pPr>
              <w:jc w:val="center"/>
              <w:rPr>
                <w:rFonts w:ascii="Arial" w:hAnsi="Arial" w:cs="Arial"/>
                <w:b/>
                <w:bCs/>
                <w:noProof/>
                <w:sz w:val="14"/>
                <w:szCs w:val="14"/>
              </w:rPr>
            </w:pPr>
          </w:p>
        </w:tc>
        <w:tc>
          <w:tcPr>
            <w:tcW w:w="709" w:type="dxa"/>
            <w:tcBorders>
              <w:left w:val="single" w:sz="4" w:space="0" w:color="auto"/>
              <w:bottom w:val="single" w:sz="12" w:space="0" w:color="auto"/>
              <w:right w:val="single" w:sz="4" w:space="0" w:color="auto"/>
            </w:tcBorders>
            <w:vAlign w:val="center"/>
          </w:tcPr>
          <w:p w14:paraId="3D98813C" w14:textId="77777777" w:rsidR="00145197" w:rsidRPr="004A5F05" w:rsidRDefault="00145197" w:rsidP="001D5407">
            <w:pPr>
              <w:jc w:val="center"/>
              <w:rPr>
                <w:rFonts w:ascii="Arial" w:hAnsi="Arial" w:cs="Arial"/>
                <w:b/>
                <w:bCs/>
                <w:noProof/>
                <w:sz w:val="14"/>
                <w:szCs w:val="14"/>
              </w:rPr>
            </w:pPr>
          </w:p>
        </w:tc>
        <w:tc>
          <w:tcPr>
            <w:tcW w:w="708" w:type="dxa"/>
            <w:tcBorders>
              <w:left w:val="single" w:sz="4" w:space="0" w:color="auto"/>
              <w:bottom w:val="single" w:sz="12" w:space="0" w:color="auto"/>
              <w:right w:val="single" w:sz="12" w:space="0" w:color="auto"/>
            </w:tcBorders>
            <w:vAlign w:val="center"/>
          </w:tcPr>
          <w:p w14:paraId="1D4E514B" w14:textId="2D700EB2" w:rsidR="00145197" w:rsidRPr="00E32BCA" w:rsidRDefault="00E32BCA" w:rsidP="001D5407">
            <w:pPr>
              <w:jc w:val="center"/>
              <w:rPr>
                <w:rFonts w:ascii="Arial" w:hAnsi="Arial" w:cs="Arial"/>
                <w:b/>
                <w:bCs/>
                <w:noProof/>
                <w:sz w:val="20"/>
                <w:szCs w:val="20"/>
              </w:rPr>
            </w:pPr>
            <w:r w:rsidRPr="00E32BCA">
              <w:rPr>
                <w:rFonts w:ascii="Arial" w:hAnsi="Arial" w:cs="Arial"/>
                <w:b/>
                <w:bCs/>
                <w:noProof/>
                <w:sz w:val="20"/>
                <w:szCs w:val="20"/>
              </w:rPr>
              <w:t>x</w:t>
            </w:r>
          </w:p>
        </w:tc>
        <w:tc>
          <w:tcPr>
            <w:tcW w:w="8789" w:type="dxa"/>
            <w:tcBorders>
              <w:left w:val="single" w:sz="12" w:space="0" w:color="auto"/>
              <w:bottom w:val="single" w:sz="12" w:space="0" w:color="auto"/>
              <w:right w:val="single" w:sz="4" w:space="0" w:color="auto"/>
            </w:tcBorders>
          </w:tcPr>
          <w:p w14:paraId="495640C4" w14:textId="152F7F28" w:rsidR="00145197" w:rsidRPr="00984669" w:rsidRDefault="00145197" w:rsidP="001D5407">
            <w:pPr>
              <w:rPr>
                <w:rFonts w:ascii="Arial" w:hAnsi="Arial" w:cs="Arial"/>
                <w:b/>
                <w:bCs/>
                <w:noProof/>
                <w:sz w:val="14"/>
                <w:szCs w:val="14"/>
              </w:rPr>
            </w:pPr>
            <w:r w:rsidRPr="00984669">
              <w:rPr>
                <w:rFonts w:ascii="Arial" w:hAnsi="Arial" w:cs="Arial"/>
                <w:noProof/>
                <w:sz w:val="14"/>
                <w:szCs w:val="14"/>
              </w:rPr>
              <w:t>Reviewing</w:t>
            </w:r>
          </w:p>
        </w:tc>
        <w:tc>
          <w:tcPr>
            <w:tcW w:w="709" w:type="dxa"/>
            <w:tcBorders>
              <w:top w:val="single" w:sz="4" w:space="0" w:color="auto"/>
              <w:left w:val="single" w:sz="4" w:space="0" w:color="auto"/>
              <w:bottom w:val="single" w:sz="12" w:space="0" w:color="auto"/>
              <w:right w:val="single" w:sz="4" w:space="0" w:color="auto"/>
            </w:tcBorders>
            <w:vAlign w:val="center"/>
          </w:tcPr>
          <w:p w14:paraId="27A3111D" w14:textId="2314125C" w:rsidR="00145197" w:rsidRPr="003C2414" w:rsidRDefault="00145197" w:rsidP="001D5407">
            <w:pPr>
              <w:rPr>
                <w:rFonts w:ascii="Arial" w:hAnsi="Arial" w:cs="Arial"/>
                <w:b/>
                <w:bCs/>
                <w:noProof/>
                <w:sz w:val="20"/>
                <w:szCs w:val="20"/>
              </w:rPr>
            </w:pPr>
          </w:p>
        </w:tc>
        <w:tc>
          <w:tcPr>
            <w:tcW w:w="708" w:type="dxa"/>
            <w:tcBorders>
              <w:top w:val="single" w:sz="4" w:space="0" w:color="auto"/>
              <w:left w:val="single" w:sz="4" w:space="0" w:color="auto"/>
              <w:bottom w:val="single" w:sz="12" w:space="0" w:color="auto"/>
              <w:right w:val="single" w:sz="4" w:space="0" w:color="auto"/>
            </w:tcBorders>
            <w:vAlign w:val="center"/>
          </w:tcPr>
          <w:p w14:paraId="35D44EF7" w14:textId="54111A01" w:rsidR="00145197" w:rsidRPr="003C2414" w:rsidRDefault="00145197" w:rsidP="001D5407">
            <w:pPr>
              <w:rPr>
                <w:rFonts w:ascii="Arial" w:hAnsi="Arial" w:cs="Arial"/>
                <w:b/>
                <w:bCs/>
                <w:noProof/>
                <w:sz w:val="20"/>
                <w:szCs w:val="20"/>
              </w:rPr>
            </w:pPr>
          </w:p>
        </w:tc>
        <w:tc>
          <w:tcPr>
            <w:tcW w:w="709" w:type="dxa"/>
            <w:tcBorders>
              <w:top w:val="single" w:sz="4" w:space="0" w:color="auto"/>
              <w:left w:val="single" w:sz="4" w:space="0" w:color="auto"/>
              <w:bottom w:val="single" w:sz="12" w:space="0" w:color="auto"/>
              <w:right w:val="single" w:sz="4" w:space="0" w:color="auto"/>
            </w:tcBorders>
            <w:vAlign w:val="center"/>
          </w:tcPr>
          <w:p w14:paraId="2CE633DF" w14:textId="15F80191" w:rsidR="00145197" w:rsidRPr="003C2414" w:rsidRDefault="00145197" w:rsidP="001D5407">
            <w:pPr>
              <w:rPr>
                <w:rFonts w:ascii="Arial" w:hAnsi="Arial" w:cs="Arial"/>
                <w:b/>
                <w:bCs/>
                <w:noProof/>
                <w:sz w:val="20"/>
                <w:szCs w:val="20"/>
              </w:rPr>
            </w:pPr>
          </w:p>
        </w:tc>
        <w:tc>
          <w:tcPr>
            <w:tcW w:w="719" w:type="dxa"/>
            <w:tcBorders>
              <w:top w:val="single" w:sz="4" w:space="0" w:color="auto"/>
              <w:left w:val="single" w:sz="4" w:space="0" w:color="auto"/>
              <w:bottom w:val="single" w:sz="12" w:space="0" w:color="auto"/>
              <w:right w:val="single" w:sz="12" w:space="0" w:color="auto"/>
            </w:tcBorders>
            <w:vAlign w:val="center"/>
          </w:tcPr>
          <w:p w14:paraId="2B29AF17" w14:textId="6E7AE876" w:rsidR="00145197" w:rsidRPr="003C2414" w:rsidRDefault="00E32BCA" w:rsidP="001D5407">
            <w:pPr>
              <w:jc w:val="center"/>
              <w:rPr>
                <w:rFonts w:ascii="Arial" w:hAnsi="Arial" w:cs="Arial"/>
                <w:b/>
                <w:bCs/>
                <w:noProof/>
                <w:sz w:val="20"/>
                <w:szCs w:val="20"/>
              </w:rPr>
            </w:pPr>
            <w:r>
              <w:rPr>
                <w:rFonts w:ascii="Arial" w:hAnsi="Arial" w:cs="Arial"/>
                <w:b/>
                <w:bCs/>
                <w:noProof/>
                <w:sz w:val="20"/>
                <w:szCs w:val="20"/>
              </w:rPr>
              <w:t>x</w:t>
            </w:r>
          </w:p>
        </w:tc>
      </w:tr>
      <w:tr w:rsidR="00751098" w14:paraId="6C846463" w14:textId="77777777" w:rsidTr="001D5407">
        <w:trPr>
          <w:trHeight w:val="596"/>
        </w:trPr>
        <w:tc>
          <w:tcPr>
            <w:tcW w:w="22959" w:type="dxa"/>
            <w:gridSpan w:val="10"/>
            <w:tcBorders>
              <w:left w:val="single" w:sz="12" w:space="0" w:color="auto"/>
              <w:bottom w:val="single" w:sz="12" w:space="0" w:color="auto"/>
              <w:right w:val="single" w:sz="12" w:space="0" w:color="auto"/>
            </w:tcBorders>
          </w:tcPr>
          <w:p w14:paraId="55AC5BAE" w14:textId="77777777" w:rsidR="00312C59" w:rsidRDefault="00312C59" w:rsidP="001D5407">
            <w:pPr>
              <w:rPr>
                <w:rFonts w:ascii="Arial" w:hAnsi="Arial" w:cs="Arial"/>
                <w:b/>
                <w:bCs/>
              </w:rPr>
            </w:pPr>
            <w:r>
              <w:rPr>
                <w:rFonts w:ascii="Arial" w:hAnsi="Arial" w:cs="Arial"/>
                <w:b/>
                <w:bCs/>
              </w:rPr>
              <w:t xml:space="preserve">Approvals  </w:t>
            </w:r>
          </w:p>
          <w:p w14:paraId="202B7DB9" w14:textId="7799CA32" w:rsidR="004A24FC" w:rsidRDefault="00312C59" w:rsidP="001D5407">
            <w:pPr>
              <w:pStyle w:val="BodyText"/>
              <w:ind w:right="565"/>
              <w:rPr>
                <w:rFonts w:ascii="Arial" w:hAnsi="Arial" w:cs="Arial"/>
                <w:sz w:val="18"/>
                <w:szCs w:val="18"/>
              </w:rPr>
            </w:pPr>
            <w:r>
              <w:rPr>
                <w:rFonts w:ascii="Arial" w:hAnsi="Arial" w:cs="Arial"/>
                <w:sz w:val="16"/>
                <w:szCs w:val="16"/>
              </w:rPr>
              <w:t>This plan was developed in consultation with the school community and meets school needs and systemic requirements</w:t>
            </w:r>
            <w:r>
              <w:rPr>
                <w:rFonts w:ascii="Arial" w:hAnsi="Arial" w:cs="Arial"/>
                <w:sz w:val="18"/>
                <w:szCs w:val="18"/>
              </w:rPr>
              <w:t>.</w:t>
            </w:r>
          </w:p>
          <w:p w14:paraId="37088D1A" w14:textId="77777777" w:rsidR="00C14E44" w:rsidRDefault="00C14E44" w:rsidP="001D5407">
            <w:pPr>
              <w:pStyle w:val="BodyText"/>
              <w:ind w:right="565"/>
              <w:rPr>
                <w:rFonts w:ascii="Arial" w:hAnsi="Arial" w:cs="Arial"/>
                <w:sz w:val="18"/>
                <w:szCs w:val="18"/>
              </w:rPr>
            </w:pPr>
          </w:p>
          <w:p w14:paraId="553850E6" w14:textId="4EF6AC0E" w:rsidR="00751098" w:rsidRPr="001D5407" w:rsidRDefault="00312C59" w:rsidP="001D5407">
            <w:pPr>
              <w:pStyle w:val="BodyText"/>
              <w:ind w:right="565"/>
              <w:rPr>
                <w:rFonts w:ascii="Arial" w:hAnsi="Arial" w:cs="Arial"/>
                <w:b/>
                <w:bCs/>
                <w:sz w:val="18"/>
                <w:szCs w:val="18"/>
              </w:rPr>
            </w:pPr>
            <w:r>
              <w:rPr>
                <w:rFonts w:ascii="Arial" w:hAnsi="Arial" w:cs="Arial"/>
                <w:b/>
                <w:bCs/>
                <w:sz w:val="20"/>
                <w:szCs w:val="20"/>
              </w:rPr>
              <w:t xml:space="preserve">Principal </w:t>
            </w:r>
            <w:r>
              <w:rPr>
                <w:rFonts w:ascii="Arial" w:hAnsi="Arial" w:cs="Arial"/>
                <w:b/>
                <w:bCs/>
                <w:sz w:val="18"/>
                <w:szCs w:val="18"/>
              </w:rPr>
              <w:t xml:space="preserve">                                                             </w:t>
            </w:r>
            <w:r>
              <w:rPr>
                <w:rFonts w:ascii="Arial" w:hAnsi="Arial" w:cs="Arial"/>
                <w:b/>
                <w:bCs/>
                <w:sz w:val="20"/>
                <w:szCs w:val="20"/>
              </w:rPr>
              <w:t>P&amp;C/School Council                                         School Supervisor</w:t>
            </w:r>
          </w:p>
        </w:tc>
      </w:tr>
    </w:tbl>
    <w:p w14:paraId="60B16263" w14:textId="3AD8DBB9" w:rsidR="001D5407" w:rsidRPr="001D5407" w:rsidRDefault="00F07EBA" w:rsidP="001D5407">
      <w:pPr>
        <w:spacing w:before="120" w:after="120" w:line="252" w:lineRule="auto"/>
        <w:jc w:val="center"/>
        <w:rPr>
          <w:rFonts w:ascii="Arial" w:hAnsi="Arial" w:cs="Arial"/>
          <w:b/>
          <w:bCs/>
          <w:sz w:val="18"/>
          <w:szCs w:val="18"/>
        </w:rPr>
      </w:pPr>
      <w:r>
        <w:rPr>
          <w:noProof/>
          <w:lang w:eastAsia="zh-TW"/>
        </w:rPr>
        <w:drawing>
          <wp:anchor distT="0" distB="0" distL="114300" distR="114300" simplePos="0" relativeHeight="251673088" behindDoc="0" locked="0" layoutInCell="1" allowOverlap="1" wp14:anchorId="38DF8EF9" wp14:editId="3FE901B5">
            <wp:simplePos x="0" y="0"/>
            <wp:positionH relativeFrom="margin">
              <wp:posOffset>10306050</wp:posOffset>
            </wp:positionH>
            <wp:positionV relativeFrom="paragraph">
              <wp:posOffset>6350</wp:posOffset>
            </wp:positionV>
            <wp:extent cx="361950" cy="405130"/>
            <wp:effectExtent l="0" t="0" r="0" b="0"/>
            <wp:wrapNone/>
            <wp:docPr id="1" name="Picture 6" descr="HSS%20Logo%20to%20be%20adjusted-pkt">
              <a:extLst xmlns:a="http://schemas.openxmlformats.org/drawingml/2006/main">
                <a:ext uri="{FF2B5EF4-FFF2-40B4-BE49-F238E27FC236}">
                  <a16:creationId xmlns:a16="http://schemas.microsoft.com/office/drawing/2014/main" id="{FF1B0A93-060C-5040-87BE-DB0DE68444B0}"/>
                </a:ext>
              </a:extLst>
            </wp:docPr>
            <wp:cNvGraphicFramePr/>
            <a:graphic xmlns:a="http://schemas.openxmlformats.org/drawingml/2006/main">
              <a:graphicData uri="http://schemas.openxmlformats.org/drawingml/2006/picture">
                <pic:pic xmlns:pic="http://schemas.openxmlformats.org/drawingml/2006/picture">
                  <pic:nvPicPr>
                    <pic:cNvPr id="7" name="Picture 6" descr="HSS%20Logo%20to%20be%20adjusted-pkt">
                      <a:extLst>
                        <a:ext uri="{FF2B5EF4-FFF2-40B4-BE49-F238E27FC236}">
                          <a16:creationId xmlns:a16="http://schemas.microsoft.com/office/drawing/2014/main" id="{FF1B0A93-060C-5040-87BE-DB0DE68444B0}"/>
                        </a:ext>
                      </a:extLst>
                    </pic:cNvPr>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2DE8">
        <w:rPr>
          <w:noProof/>
          <w:lang w:eastAsia="zh-TW"/>
        </w:rPr>
        <w:drawing>
          <wp:anchor distT="0" distB="0" distL="114300" distR="114300" simplePos="0" relativeHeight="251671040" behindDoc="0" locked="0" layoutInCell="1" allowOverlap="1" wp14:anchorId="26E8EEBF" wp14:editId="3561EA37">
            <wp:simplePos x="0" y="0"/>
            <wp:positionH relativeFrom="margin">
              <wp:posOffset>2413000</wp:posOffset>
            </wp:positionH>
            <wp:positionV relativeFrom="paragraph">
              <wp:posOffset>6350</wp:posOffset>
            </wp:positionV>
            <wp:extent cx="396875" cy="430110"/>
            <wp:effectExtent l="0" t="0" r="3175" b="8255"/>
            <wp:wrapNone/>
            <wp:docPr id="7" name="Picture 6" descr="HSS%20Logo%20to%20be%20adjusted-pkt">
              <a:extLst xmlns:a="http://schemas.openxmlformats.org/drawingml/2006/main">
                <a:ext uri="{FF2B5EF4-FFF2-40B4-BE49-F238E27FC236}">
                  <a16:creationId xmlns:a16="http://schemas.microsoft.com/office/drawing/2014/main" id="{FF1B0A93-060C-5040-87BE-DB0DE68444B0}"/>
                </a:ext>
              </a:extLst>
            </wp:docPr>
            <wp:cNvGraphicFramePr/>
            <a:graphic xmlns:a="http://schemas.openxmlformats.org/drawingml/2006/main">
              <a:graphicData uri="http://schemas.openxmlformats.org/drawingml/2006/picture">
                <pic:pic xmlns:pic="http://schemas.openxmlformats.org/drawingml/2006/picture">
                  <pic:nvPicPr>
                    <pic:cNvPr id="7" name="Picture 6" descr="HSS%20Logo%20to%20be%20adjusted-pkt">
                      <a:extLst>
                        <a:ext uri="{FF2B5EF4-FFF2-40B4-BE49-F238E27FC236}">
                          <a16:creationId xmlns:a16="http://schemas.microsoft.com/office/drawing/2014/main" id="{FF1B0A93-060C-5040-87BE-DB0DE68444B0}"/>
                        </a:ext>
                      </a:extLst>
                    </pic:cNvPr>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875" cy="430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414">
        <w:rPr>
          <w:rFonts w:ascii="Arial" w:hAnsi="Arial" w:cs="Arial"/>
          <w:b/>
          <w:bCs/>
          <w:noProof/>
          <w:sz w:val="32"/>
          <w:szCs w:val="32"/>
        </w:rPr>
        <w:t>Hambledon State School</w:t>
      </w:r>
      <w:r w:rsidR="001D5407">
        <w:rPr>
          <w:rFonts w:ascii="Arial" w:hAnsi="Arial" w:cs="Arial"/>
          <w:b/>
          <w:bCs/>
          <w:noProof/>
          <w:sz w:val="32"/>
          <w:szCs w:val="32"/>
        </w:rPr>
        <w:t xml:space="preserve"> </w:t>
      </w:r>
      <w:r w:rsidR="001D5407" w:rsidRPr="001D5407">
        <w:rPr>
          <w:rFonts w:ascii="Arial" w:hAnsi="Arial" w:cs="Arial"/>
          <w:b/>
          <w:bCs/>
          <w:sz w:val="32"/>
          <w:szCs w:val="32"/>
        </w:rPr>
        <w:t>2024-2027 SCHOOL STRATEGIC PLAN</w:t>
      </w:r>
    </w:p>
    <w:p w14:paraId="2E0C2C31" w14:textId="10185C8A" w:rsidR="006B71F8" w:rsidRPr="00352E1A" w:rsidRDefault="006B71F8" w:rsidP="006B71F8">
      <w:pPr>
        <w:pStyle w:val="Title"/>
        <w:jc w:val="center"/>
        <w:rPr>
          <w:rFonts w:ascii="Arial" w:hAnsi="Arial" w:cs="Arial"/>
          <w:b/>
          <w:bCs/>
          <w:sz w:val="36"/>
          <w:szCs w:val="36"/>
        </w:rPr>
      </w:pPr>
    </w:p>
    <w:sectPr w:rsidR="006B71F8" w:rsidRPr="00352E1A" w:rsidSect="00352E1A">
      <w:headerReference w:type="even" r:id="rId18"/>
      <w:headerReference w:type="default" r:id="rId19"/>
      <w:footerReference w:type="even" r:id="rId20"/>
      <w:footerReference w:type="default" r:id="rId21"/>
      <w:headerReference w:type="first" r:id="rId22"/>
      <w:footerReference w:type="first" r:id="rId23"/>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9D87" w14:textId="77777777" w:rsidR="008D55A9" w:rsidRDefault="008D55A9">
      <w:pPr>
        <w:spacing w:after="0" w:line="240" w:lineRule="auto"/>
      </w:pPr>
      <w:r>
        <w:separator/>
      </w:r>
    </w:p>
  </w:endnote>
  <w:endnote w:type="continuationSeparator" w:id="0">
    <w:p w14:paraId="1C854D86" w14:textId="77777777" w:rsidR="008D55A9" w:rsidRDefault="008D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0BBD" w14:textId="77777777" w:rsidR="0092525A" w:rsidRDefault="00925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CF2F" w14:textId="71A65BDA" w:rsidR="00221556" w:rsidRPr="00CA16D7" w:rsidRDefault="00BA1AF9">
    <w:pPr>
      <w:pStyle w:val="Footer"/>
      <w:rPr>
        <w:color w:val="808080" w:themeColor="background1" w:themeShade="80"/>
        <w:sz w:val="18"/>
        <w:szCs w:val="18"/>
      </w:rPr>
    </w:pPr>
    <w:r>
      <w:rPr>
        <w:noProof/>
      </w:rPr>
      <w:drawing>
        <wp:anchor distT="0" distB="0" distL="114300" distR="114300" simplePos="0" relativeHeight="251670528" behindDoc="1" locked="0" layoutInCell="1" allowOverlap="1" wp14:anchorId="3602287A" wp14:editId="3A1105E2">
          <wp:simplePos x="0" y="0"/>
          <wp:positionH relativeFrom="column">
            <wp:posOffset>-1050202</wp:posOffset>
          </wp:positionH>
          <wp:positionV relativeFrom="page">
            <wp:align>bottom</wp:align>
          </wp:positionV>
          <wp:extent cx="15120000" cy="964800"/>
          <wp:effectExtent l="0" t="0" r="571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120000" cy="964800"/>
                  </a:xfrm>
                  <a:prstGeom prst="rect">
                    <a:avLst/>
                  </a:prstGeom>
                </pic:spPr>
              </pic:pic>
            </a:graphicData>
          </a:graphic>
          <wp14:sizeRelH relativeFrom="margin">
            <wp14:pctWidth>0</wp14:pctWidth>
          </wp14:sizeRelH>
          <wp14:sizeRelV relativeFrom="margin">
            <wp14:pctHeight>0</wp14:pctHeight>
          </wp14:sizeRelV>
        </wp:anchor>
      </w:drawing>
    </w:r>
    <w:r w:rsidR="00E1329A">
      <w:rPr>
        <w:color w:val="808080" w:themeColor="background1" w:themeShade="80"/>
        <w:sz w:val="18"/>
        <w:szCs w:val="18"/>
      </w:rPr>
      <w:t xml:space="preserve"> (CM 23/626521)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01C7" w14:textId="77777777" w:rsidR="0092525A" w:rsidRDefault="00925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FCC6" w14:textId="77777777" w:rsidR="008D55A9" w:rsidRDefault="008D55A9">
      <w:pPr>
        <w:spacing w:after="0" w:line="240" w:lineRule="auto"/>
      </w:pPr>
      <w:r>
        <w:separator/>
      </w:r>
    </w:p>
  </w:footnote>
  <w:footnote w:type="continuationSeparator" w:id="0">
    <w:p w14:paraId="6E7B8CB3" w14:textId="77777777" w:rsidR="008D55A9" w:rsidRDefault="008D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9405" w14:textId="64B65693" w:rsidR="00CA16D7" w:rsidRDefault="00CA1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CAA2" w14:textId="42243426" w:rsidR="00C3086F" w:rsidRDefault="00BA1AF9">
    <w:pPr>
      <w:pStyle w:val="Header"/>
    </w:pPr>
    <w:r>
      <w:rPr>
        <w:noProof/>
      </w:rPr>
      <w:drawing>
        <wp:anchor distT="0" distB="0" distL="114300" distR="114300" simplePos="0" relativeHeight="251668480" behindDoc="1" locked="0" layoutInCell="1" allowOverlap="1" wp14:anchorId="4792967F" wp14:editId="237FEED0">
          <wp:simplePos x="0" y="0"/>
          <wp:positionH relativeFrom="page">
            <wp:align>right</wp:align>
          </wp:positionH>
          <wp:positionV relativeFrom="page">
            <wp:align>top</wp:align>
          </wp:positionV>
          <wp:extent cx="15113000" cy="84197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13000" cy="84197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B7A1" w14:textId="30AFD620" w:rsidR="00CA16D7" w:rsidRDefault="00CA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08D"/>
    <w:multiLevelType w:val="hybridMultilevel"/>
    <w:tmpl w:val="EFAAE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D7130"/>
    <w:multiLevelType w:val="hybridMultilevel"/>
    <w:tmpl w:val="51686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339D4"/>
    <w:multiLevelType w:val="hybridMultilevel"/>
    <w:tmpl w:val="98BA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752783"/>
    <w:multiLevelType w:val="hybridMultilevel"/>
    <w:tmpl w:val="124A0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CD0D52"/>
    <w:multiLevelType w:val="hybridMultilevel"/>
    <w:tmpl w:val="C8727520"/>
    <w:lvl w:ilvl="0" w:tplc="BB56589C">
      <w:start w:val="2"/>
      <w:numFmt w:val="bullet"/>
      <w:lvlText w:val="-"/>
      <w:lvlJc w:val="left"/>
      <w:pPr>
        <w:ind w:left="720" w:hanging="360"/>
      </w:pPr>
      <w:rPr>
        <w:rFonts w:ascii="Arial" w:eastAsiaTheme="minorEastAsia"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5634E"/>
    <w:multiLevelType w:val="hybridMultilevel"/>
    <w:tmpl w:val="09BEF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113E4"/>
    <w:multiLevelType w:val="hybridMultilevel"/>
    <w:tmpl w:val="8F286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690DDC"/>
    <w:multiLevelType w:val="hybridMultilevel"/>
    <w:tmpl w:val="A232D5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78C09B3"/>
    <w:multiLevelType w:val="hybridMultilevel"/>
    <w:tmpl w:val="A8C06568"/>
    <w:lvl w:ilvl="0" w:tplc="AF74629A">
      <w:start w:val="1"/>
      <w:numFmt w:val="bullet"/>
      <w:lvlText w:val=""/>
      <w:lvlJc w:val="left"/>
      <w:pPr>
        <w:tabs>
          <w:tab w:val="num" w:pos="720"/>
        </w:tabs>
        <w:ind w:left="720" w:hanging="360"/>
      </w:pPr>
      <w:rPr>
        <w:rFonts w:ascii="Wingdings 2" w:hAnsi="Wingdings 2" w:hint="default"/>
      </w:rPr>
    </w:lvl>
    <w:lvl w:ilvl="1" w:tplc="4D8410F2" w:tentative="1">
      <w:start w:val="1"/>
      <w:numFmt w:val="bullet"/>
      <w:lvlText w:val=""/>
      <w:lvlJc w:val="left"/>
      <w:pPr>
        <w:tabs>
          <w:tab w:val="num" w:pos="1440"/>
        </w:tabs>
        <w:ind w:left="1440" w:hanging="360"/>
      </w:pPr>
      <w:rPr>
        <w:rFonts w:ascii="Wingdings 2" w:hAnsi="Wingdings 2" w:hint="default"/>
      </w:rPr>
    </w:lvl>
    <w:lvl w:ilvl="2" w:tplc="5ACA56AE" w:tentative="1">
      <w:start w:val="1"/>
      <w:numFmt w:val="bullet"/>
      <w:lvlText w:val=""/>
      <w:lvlJc w:val="left"/>
      <w:pPr>
        <w:tabs>
          <w:tab w:val="num" w:pos="2160"/>
        </w:tabs>
        <w:ind w:left="2160" w:hanging="360"/>
      </w:pPr>
      <w:rPr>
        <w:rFonts w:ascii="Wingdings 2" w:hAnsi="Wingdings 2" w:hint="default"/>
      </w:rPr>
    </w:lvl>
    <w:lvl w:ilvl="3" w:tplc="C8748AF8" w:tentative="1">
      <w:start w:val="1"/>
      <w:numFmt w:val="bullet"/>
      <w:lvlText w:val=""/>
      <w:lvlJc w:val="left"/>
      <w:pPr>
        <w:tabs>
          <w:tab w:val="num" w:pos="2880"/>
        </w:tabs>
        <w:ind w:left="2880" w:hanging="360"/>
      </w:pPr>
      <w:rPr>
        <w:rFonts w:ascii="Wingdings 2" w:hAnsi="Wingdings 2" w:hint="default"/>
      </w:rPr>
    </w:lvl>
    <w:lvl w:ilvl="4" w:tplc="DEDADE3A" w:tentative="1">
      <w:start w:val="1"/>
      <w:numFmt w:val="bullet"/>
      <w:lvlText w:val=""/>
      <w:lvlJc w:val="left"/>
      <w:pPr>
        <w:tabs>
          <w:tab w:val="num" w:pos="3600"/>
        </w:tabs>
        <w:ind w:left="3600" w:hanging="360"/>
      </w:pPr>
      <w:rPr>
        <w:rFonts w:ascii="Wingdings 2" w:hAnsi="Wingdings 2" w:hint="default"/>
      </w:rPr>
    </w:lvl>
    <w:lvl w:ilvl="5" w:tplc="11B8413E" w:tentative="1">
      <w:start w:val="1"/>
      <w:numFmt w:val="bullet"/>
      <w:lvlText w:val=""/>
      <w:lvlJc w:val="left"/>
      <w:pPr>
        <w:tabs>
          <w:tab w:val="num" w:pos="4320"/>
        </w:tabs>
        <w:ind w:left="4320" w:hanging="360"/>
      </w:pPr>
      <w:rPr>
        <w:rFonts w:ascii="Wingdings 2" w:hAnsi="Wingdings 2" w:hint="default"/>
      </w:rPr>
    </w:lvl>
    <w:lvl w:ilvl="6" w:tplc="52003CD8" w:tentative="1">
      <w:start w:val="1"/>
      <w:numFmt w:val="bullet"/>
      <w:lvlText w:val=""/>
      <w:lvlJc w:val="left"/>
      <w:pPr>
        <w:tabs>
          <w:tab w:val="num" w:pos="5040"/>
        </w:tabs>
        <w:ind w:left="5040" w:hanging="360"/>
      </w:pPr>
      <w:rPr>
        <w:rFonts w:ascii="Wingdings 2" w:hAnsi="Wingdings 2" w:hint="default"/>
      </w:rPr>
    </w:lvl>
    <w:lvl w:ilvl="7" w:tplc="777E8B26" w:tentative="1">
      <w:start w:val="1"/>
      <w:numFmt w:val="bullet"/>
      <w:lvlText w:val=""/>
      <w:lvlJc w:val="left"/>
      <w:pPr>
        <w:tabs>
          <w:tab w:val="num" w:pos="5760"/>
        </w:tabs>
        <w:ind w:left="5760" w:hanging="360"/>
      </w:pPr>
      <w:rPr>
        <w:rFonts w:ascii="Wingdings 2" w:hAnsi="Wingdings 2" w:hint="default"/>
      </w:rPr>
    </w:lvl>
    <w:lvl w:ilvl="8" w:tplc="BF4092A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7F84821"/>
    <w:multiLevelType w:val="hybridMultilevel"/>
    <w:tmpl w:val="A18C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CF5452"/>
    <w:multiLevelType w:val="hybridMultilevel"/>
    <w:tmpl w:val="3370D7EA"/>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4C7705"/>
    <w:multiLevelType w:val="hybridMultilevel"/>
    <w:tmpl w:val="BD840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4428F7"/>
    <w:multiLevelType w:val="hybridMultilevel"/>
    <w:tmpl w:val="0CCA2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6862277"/>
    <w:multiLevelType w:val="hybridMultilevel"/>
    <w:tmpl w:val="C280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5038EE"/>
    <w:multiLevelType w:val="hybridMultilevel"/>
    <w:tmpl w:val="8078E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EE53419"/>
    <w:multiLevelType w:val="hybridMultilevel"/>
    <w:tmpl w:val="E51E4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185065"/>
    <w:multiLevelType w:val="hybridMultilevel"/>
    <w:tmpl w:val="00FE4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1603AC"/>
    <w:multiLevelType w:val="hybridMultilevel"/>
    <w:tmpl w:val="F3D00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15"/>
  </w:num>
  <w:num w:numId="6">
    <w:abstractNumId w:val="4"/>
  </w:num>
  <w:num w:numId="7">
    <w:abstractNumId w:val="10"/>
  </w:num>
  <w:num w:numId="8">
    <w:abstractNumId w:val="7"/>
  </w:num>
  <w:num w:numId="9">
    <w:abstractNumId w:val="12"/>
  </w:num>
  <w:num w:numId="10">
    <w:abstractNumId w:val="14"/>
  </w:num>
  <w:num w:numId="11">
    <w:abstractNumId w:val="13"/>
  </w:num>
  <w:num w:numId="12">
    <w:abstractNumId w:val="16"/>
  </w:num>
  <w:num w:numId="13">
    <w:abstractNumId w:val="9"/>
  </w:num>
  <w:num w:numId="14">
    <w:abstractNumId w:val="2"/>
  </w:num>
  <w:num w:numId="15">
    <w:abstractNumId w:val="11"/>
  </w:num>
  <w:num w:numId="16">
    <w:abstractNumId w:val="8"/>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F8"/>
    <w:rsid w:val="00034DC6"/>
    <w:rsid w:val="00047120"/>
    <w:rsid w:val="00066312"/>
    <w:rsid w:val="00082511"/>
    <w:rsid w:val="000C2CDF"/>
    <w:rsid w:val="000C4E77"/>
    <w:rsid w:val="000C660E"/>
    <w:rsid w:val="000D2878"/>
    <w:rsid w:val="000D32C4"/>
    <w:rsid w:val="000F6E71"/>
    <w:rsid w:val="00101910"/>
    <w:rsid w:val="00103D81"/>
    <w:rsid w:val="001045F0"/>
    <w:rsid w:val="0010705D"/>
    <w:rsid w:val="00145197"/>
    <w:rsid w:val="001502A7"/>
    <w:rsid w:val="00155BC5"/>
    <w:rsid w:val="00160284"/>
    <w:rsid w:val="001770B9"/>
    <w:rsid w:val="001B11D2"/>
    <w:rsid w:val="001B2C85"/>
    <w:rsid w:val="001B3A0F"/>
    <w:rsid w:val="001B4B72"/>
    <w:rsid w:val="001B7A1F"/>
    <w:rsid w:val="001C1007"/>
    <w:rsid w:val="001D5407"/>
    <w:rsid w:val="001E2828"/>
    <w:rsid w:val="001F1A63"/>
    <w:rsid w:val="002058ED"/>
    <w:rsid w:val="00231491"/>
    <w:rsid w:val="00236EE1"/>
    <w:rsid w:val="00242792"/>
    <w:rsid w:val="00246600"/>
    <w:rsid w:val="00255F88"/>
    <w:rsid w:val="00263050"/>
    <w:rsid w:val="00271BC8"/>
    <w:rsid w:val="002939B9"/>
    <w:rsid w:val="002A026C"/>
    <w:rsid w:val="002A679C"/>
    <w:rsid w:val="002C058C"/>
    <w:rsid w:val="002C2B51"/>
    <w:rsid w:val="002D4FB1"/>
    <w:rsid w:val="002D65C0"/>
    <w:rsid w:val="002D707C"/>
    <w:rsid w:val="002E56E8"/>
    <w:rsid w:val="002F4969"/>
    <w:rsid w:val="0030260E"/>
    <w:rsid w:val="00302DE8"/>
    <w:rsid w:val="00312C59"/>
    <w:rsid w:val="00314CAA"/>
    <w:rsid w:val="00315144"/>
    <w:rsid w:val="00321C84"/>
    <w:rsid w:val="00324A16"/>
    <w:rsid w:val="00324E27"/>
    <w:rsid w:val="00333FE7"/>
    <w:rsid w:val="00334D2B"/>
    <w:rsid w:val="003454A4"/>
    <w:rsid w:val="00352E1A"/>
    <w:rsid w:val="0035656F"/>
    <w:rsid w:val="00361B50"/>
    <w:rsid w:val="003872A6"/>
    <w:rsid w:val="003912BA"/>
    <w:rsid w:val="00394A30"/>
    <w:rsid w:val="003C2414"/>
    <w:rsid w:val="003D1E52"/>
    <w:rsid w:val="003D43AB"/>
    <w:rsid w:val="003E0C07"/>
    <w:rsid w:val="003E53EA"/>
    <w:rsid w:val="003E690D"/>
    <w:rsid w:val="003E7BFA"/>
    <w:rsid w:val="003F3403"/>
    <w:rsid w:val="00404D8A"/>
    <w:rsid w:val="0042014C"/>
    <w:rsid w:val="00435981"/>
    <w:rsid w:val="00442D66"/>
    <w:rsid w:val="00464009"/>
    <w:rsid w:val="004643AE"/>
    <w:rsid w:val="0048694E"/>
    <w:rsid w:val="004A24FC"/>
    <w:rsid w:val="004A5A02"/>
    <w:rsid w:val="004A5F05"/>
    <w:rsid w:val="004D1B57"/>
    <w:rsid w:val="004E291A"/>
    <w:rsid w:val="0053188B"/>
    <w:rsid w:val="00537D6B"/>
    <w:rsid w:val="00546E94"/>
    <w:rsid w:val="00555DC3"/>
    <w:rsid w:val="005A3217"/>
    <w:rsid w:val="005A5A6C"/>
    <w:rsid w:val="005C2204"/>
    <w:rsid w:val="005C24DF"/>
    <w:rsid w:val="005D009D"/>
    <w:rsid w:val="005E0F55"/>
    <w:rsid w:val="005F4004"/>
    <w:rsid w:val="005F53CD"/>
    <w:rsid w:val="00604D76"/>
    <w:rsid w:val="00615547"/>
    <w:rsid w:val="00622145"/>
    <w:rsid w:val="006274AC"/>
    <w:rsid w:val="00631BEF"/>
    <w:rsid w:val="00641CA3"/>
    <w:rsid w:val="006441DE"/>
    <w:rsid w:val="00647630"/>
    <w:rsid w:val="0064790E"/>
    <w:rsid w:val="00655905"/>
    <w:rsid w:val="00657480"/>
    <w:rsid w:val="0066531F"/>
    <w:rsid w:val="00667A8E"/>
    <w:rsid w:val="006851B5"/>
    <w:rsid w:val="00686984"/>
    <w:rsid w:val="006A0D86"/>
    <w:rsid w:val="006A2AEB"/>
    <w:rsid w:val="006B71F8"/>
    <w:rsid w:val="006D5C0D"/>
    <w:rsid w:val="006F073C"/>
    <w:rsid w:val="00734E15"/>
    <w:rsid w:val="00751098"/>
    <w:rsid w:val="00761B8C"/>
    <w:rsid w:val="00762020"/>
    <w:rsid w:val="00774DD0"/>
    <w:rsid w:val="007754A4"/>
    <w:rsid w:val="0078635F"/>
    <w:rsid w:val="007B4CA6"/>
    <w:rsid w:val="007D2FB8"/>
    <w:rsid w:val="007E2B31"/>
    <w:rsid w:val="007E2DC8"/>
    <w:rsid w:val="007E505D"/>
    <w:rsid w:val="008219AB"/>
    <w:rsid w:val="00851B32"/>
    <w:rsid w:val="00855789"/>
    <w:rsid w:val="0086571B"/>
    <w:rsid w:val="0087076C"/>
    <w:rsid w:val="00893357"/>
    <w:rsid w:val="008B0366"/>
    <w:rsid w:val="008C58E8"/>
    <w:rsid w:val="008D55A9"/>
    <w:rsid w:val="00904F19"/>
    <w:rsid w:val="009158E5"/>
    <w:rsid w:val="0092525A"/>
    <w:rsid w:val="00960607"/>
    <w:rsid w:val="00965639"/>
    <w:rsid w:val="00984669"/>
    <w:rsid w:val="00984CBE"/>
    <w:rsid w:val="0098727B"/>
    <w:rsid w:val="009B12CA"/>
    <w:rsid w:val="009B2056"/>
    <w:rsid w:val="009B799E"/>
    <w:rsid w:val="009C2BC2"/>
    <w:rsid w:val="009C32A5"/>
    <w:rsid w:val="009C7AF3"/>
    <w:rsid w:val="009E5463"/>
    <w:rsid w:val="009F05EA"/>
    <w:rsid w:val="009F7D3A"/>
    <w:rsid w:val="00A0359E"/>
    <w:rsid w:val="00A16573"/>
    <w:rsid w:val="00A234F0"/>
    <w:rsid w:val="00A25AC6"/>
    <w:rsid w:val="00A32244"/>
    <w:rsid w:val="00A526F0"/>
    <w:rsid w:val="00A64C81"/>
    <w:rsid w:val="00A90516"/>
    <w:rsid w:val="00AA253D"/>
    <w:rsid w:val="00AD1FC8"/>
    <w:rsid w:val="00AD49AE"/>
    <w:rsid w:val="00AE613C"/>
    <w:rsid w:val="00AF10DA"/>
    <w:rsid w:val="00AF6BEF"/>
    <w:rsid w:val="00B1327F"/>
    <w:rsid w:val="00B169E3"/>
    <w:rsid w:val="00B340BF"/>
    <w:rsid w:val="00B37FDC"/>
    <w:rsid w:val="00B670DB"/>
    <w:rsid w:val="00B90D30"/>
    <w:rsid w:val="00B9565B"/>
    <w:rsid w:val="00BA1AF9"/>
    <w:rsid w:val="00BB5B16"/>
    <w:rsid w:val="00BD1E78"/>
    <w:rsid w:val="00BF69D2"/>
    <w:rsid w:val="00C039D8"/>
    <w:rsid w:val="00C14E44"/>
    <w:rsid w:val="00C236D5"/>
    <w:rsid w:val="00C260F9"/>
    <w:rsid w:val="00C37848"/>
    <w:rsid w:val="00C37F41"/>
    <w:rsid w:val="00C7129D"/>
    <w:rsid w:val="00C81356"/>
    <w:rsid w:val="00C814E7"/>
    <w:rsid w:val="00CA16D7"/>
    <w:rsid w:val="00CB23A8"/>
    <w:rsid w:val="00CB2F64"/>
    <w:rsid w:val="00CB544E"/>
    <w:rsid w:val="00CB705D"/>
    <w:rsid w:val="00CC35FC"/>
    <w:rsid w:val="00CD669A"/>
    <w:rsid w:val="00CF6133"/>
    <w:rsid w:val="00CF73F5"/>
    <w:rsid w:val="00D26991"/>
    <w:rsid w:val="00D675F6"/>
    <w:rsid w:val="00D837AA"/>
    <w:rsid w:val="00DA0B59"/>
    <w:rsid w:val="00DA6212"/>
    <w:rsid w:val="00DA663F"/>
    <w:rsid w:val="00DC5221"/>
    <w:rsid w:val="00DF2613"/>
    <w:rsid w:val="00E04395"/>
    <w:rsid w:val="00E113B9"/>
    <w:rsid w:val="00E1329A"/>
    <w:rsid w:val="00E32BCA"/>
    <w:rsid w:val="00E33136"/>
    <w:rsid w:val="00E342A4"/>
    <w:rsid w:val="00E43052"/>
    <w:rsid w:val="00E44345"/>
    <w:rsid w:val="00E52D77"/>
    <w:rsid w:val="00E57809"/>
    <w:rsid w:val="00E72EAC"/>
    <w:rsid w:val="00E8627C"/>
    <w:rsid w:val="00E86ABA"/>
    <w:rsid w:val="00E969BF"/>
    <w:rsid w:val="00EB17D3"/>
    <w:rsid w:val="00EC6CD7"/>
    <w:rsid w:val="00ED2A13"/>
    <w:rsid w:val="00ED2C31"/>
    <w:rsid w:val="00EE4333"/>
    <w:rsid w:val="00F07EBA"/>
    <w:rsid w:val="00F11455"/>
    <w:rsid w:val="00F4535D"/>
    <w:rsid w:val="00F52DAC"/>
    <w:rsid w:val="00F95F50"/>
    <w:rsid w:val="00F95FB6"/>
    <w:rsid w:val="00FA0152"/>
    <w:rsid w:val="00FA7D5B"/>
    <w:rsid w:val="00FE30B8"/>
    <w:rsid w:val="00FF1464"/>
    <w:rsid w:val="00FF72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BB5AE"/>
  <w15:chartTrackingRefBased/>
  <w15:docId w15:val="{C33D1ABE-8A21-40FE-9A13-85E16FC8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B71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F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B7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1F8"/>
  </w:style>
  <w:style w:type="paragraph" w:styleId="BodyText">
    <w:name w:val="Body Text"/>
    <w:basedOn w:val="Normal"/>
    <w:link w:val="BodyTextChar"/>
    <w:uiPriority w:val="1"/>
    <w:qFormat/>
    <w:rsid w:val="006B71F8"/>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6B71F8"/>
    <w:rPr>
      <w:rFonts w:ascii="Calibri" w:eastAsia="Calibri" w:hAnsi="Calibri" w:cs="Calibri"/>
      <w:lang w:val="en-US" w:eastAsia="en-US"/>
    </w:rPr>
  </w:style>
  <w:style w:type="paragraph" w:styleId="Footer">
    <w:name w:val="footer"/>
    <w:basedOn w:val="Normal"/>
    <w:link w:val="FooterChar"/>
    <w:uiPriority w:val="99"/>
    <w:unhideWhenUsed/>
    <w:rsid w:val="006B7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1F8"/>
  </w:style>
  <w:style w:type="paragraph" w:styleId="ListParagraph">
    <w:name w:val="List Paragraph"/>
    <w:basedOn w:val="Normal"/>
    <w:uiPriority w:val="34"/>
    <w:qFormat/>
    <w:rsid w:val="00F95FB6"/>
    <w:pPr>
      <w:ind w:left="720"/>
      <w:contextualSpacing/>
    </w:pPr>
  </w:style>
  <w:style w:type="paragraph" w:customStyle="1" w:styleId="Default">
    <w:name w:val="Default"/>
    <w:rsid w:val="002A679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F400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22145"/>
    <w:pPr>
      <w:spacing w:line="240" w:lineRule="auto"/>
    </w:pPr>
    <w:rPr>
      <w:sz w:val="20"/>
      <w:szCs w:val="20"/>
    </w:rPr>
  </w:style>
  <w:style w:type="character" w:customStyle="1" w:styleId="CommentTextChar">
    <w:name w:val="Comment Text Char"/>
    <w:basedOn w:val="DefaultParagraphFont"/>
    <w:link w:val="CommentText"/>
    <w:uiPriority w:val="99"/>
    <w:semiHidden/>
    <w:rsid w:val="00622145"/>
    <w:rPr>
      <w:sz w:val="20"/>
      <w:szCs w:val="20"/>
    </w:rPr>
  </w:style>
  <w:style w:type="paragraph" w:styleId="CommentSubject">
    <w:name w:val="annotation subject"/>
    <w:basedOn w:val="CommentText"/>
    <w:next w:val="CommentText"/>
    <w:link w:val="CommentSubjectChar"/>
    <w:uiPriority w:val="99"/>
    <w:semiHidden/>
    <w:unhideWhenUsed/>
    <w:rsid w:val="00622145"/>
    <w:pPr>
      <w:spacing w:after="0"/>
    </w:pPr>
    <w:rPr>
      <w:rFonts w:eastAsiaTheme="minorHAnsi"/>
      <w:b/>
      <w:bCs/>
      <w:lang w:eastAsia="en-US"/>
    </w:rPr>
  </w:style>
  <w:style w:type="character" w:customStyle="1" w:styleId="CommentSubjectChar">
    <w:name w:val="Comment Subject Char"/>
    <w:basedOn w:val="CommentTextChar"/>
    <w:link w:val="CommentSubject"/>
    <w:uiPriority w:val="99"/>
    <w:semiHidden/>
    <w:rsid w:val="00622145"/>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1451">
      <w:bodyDiv w:val="1"/>
      <w:marLeft w:val="0"/>
      <w:marRight w:val="0"/>
      <w:marTop w:val="0"/>
      <w:marBottom w:val="0"/>
      <w:divBdr>
        <w:top w:val="none" w:sz="0" w:space="0" w:color="auto"/>
        <w:left w:val="none" w:sz="0" w:space="0" w:color="auto"/>
        <w:bottom w:val="none" w:sz="0" w:space="0" w:color="auto"/>
        <w:right w:val="none" w:sz="0" w:space="0" w:color="auto"/>
      </w:divBdr>
    </w:div>
    <w:div w:id="172914677">
      <w:bodyDiv w:val="1"/>
      <w:marLeft w:val="0"/>
      <w:marRight w:val="0"/>
      <w:marTop w:val="0"/>
      <w:marBottom w:val="0"/>
      <w:divBdr>
        <w:top w:val="none" w:sz="0" w:space="0" w:color="auto"/>
        <w:left w:val="none" w:sz="0" w:space="0" w:color="auto"/>
        <w:bottom w:val="none" w:sz="0" w:space="0" w:color="auto"/>
        <w:right w:val="none" w:sz="0" w:space="0" w:color="auto"/>
      </w:divBdr>
    </w:div>
    <w:div w:id="1015231234">
      <w:bodyDiv w:val="1"/>
      <w:marLeft w:val="0"/>
      <w:marRight w:val="0"/>
      <w:marTop w:val="0"/>
      <w:marBottom w:val="0"/>
      <w:divBdr>
        <w:top w:val="none" w:sz="0" w:space="0" w:color="auto"/>
        <w:left w:val="none" w:sz="0" w:space="0" w:color="auto"/>
        <w:bottom w:val="none" w:sz="0" w:space="0" w:color="auto"/>
        <w:right w:val="none" w:sz="0" w:space="0" w:color="auto"/>
      </w:divBdr>
      <w:divsChild>
        <w:div w:id="1686248084">
          <w:marLeft w:val="0"/>
          <w:marRight w:val="0"/>
          <w:marTop w:val="0"/>
          <w:marBottom w:val="0"/>
          <w:divBdr>
            <w:top w:val="none" w:sz="0" w:space="0" w:color="auto"/>
            <w:left w:val="none" w:sz="0" w:space="0" w:color="auto"/>
            <w:bottom w:val="none" w:sz="0" w:space="0" w:color="auto"/>
            <w:right w:val="none" w:sz="0" w:space="0" w:color="auto"/>
          </w:divBdr>
        </w:div>
      </w:divsChild>
    </w:div>
    <w:div w:id="1436703904">
      <w:bodyDiv w:val="1"/>
      <w:marLeft w:val="0"/>
      <w:marRight w:val="0"/>
      <w:marTop w:val="0"/>
      <w:marBottom w:val="0"/>
      <w:divBdr>
        <w:top w:val="none" w:sz="0" w:space="0" w:color="auto"/>
        <w:left w:val="none" w:sz="0" w:space="0" w:color="auto"/>
        <w:bottom w:val="none" w:sz="0" w:space="0" w:color="auto"/>
        <w:right w:val="none" w:sz="0" w:space="0" w:color="auto"/>
      </w:divBdr>
    </w:div>
    <w:div w:id="1742168479">
      <w:bodyDiv w:val="1"/>
      <w:marLeft w:val="0"/>
      <w:marRight w:val="0"/>
      <w:marTop w:val="0"/>
      <w:marBottom w:val="0"/>
      <w:divBdr>
        <w:top w:val="none" w:sz="0" w:space="0" w:color="auto"/>
        <w:left w:val="none" w:sz="0" w:space="0" w:color="auto"/>
        <w:bottom w:val="none" w:sz="0" w:space="0" w:color="auto"/>
        <w:right w:val="none" w:sz="0" w:space="0" w:color="auto"/>
      </w:divBdr>
      <w:divsChild>
        <w:div w:id="1158420309">
          <w:marLeft w:val="288"/>
          <w:marRight w:val="0"/>
          <w:marTop w:val="240"/>
          <w:marBottom w:val="0"/>
          <w:divBdr>
            <w:top w:val="none" w:sz="0" w:space="0" w:color="auto"/>
            <w:left w:val="none" w:sz="0" w:space="0" w:color="auto"/>
            <w:bottom w:val="none" w:sz="0" w:space="0" w:color="auto"/>
            <w:right w:val="none" w:sz="0" w:space="0" w:color="auto"/>
          </w:divBdr>
        </w:div>
        <w:div w:id="1520661333">
          <w:marLeft w:val="288"/>
          <w:marRight w:val="0"/>
          <w:marTop w:val="240"/>
          <w:marBottom w:val="0"/>
          <w:divBdr>
            <w:top w:val="none" w:sz="0" w:space="0" w:color="auto"/>
            <w:left w:val="none" w:sz="0" w:space="0" w:color="auto"/>
            <w:bottom w:val="none" w:sz="0" w:space="0" w:color="auto"/>
            <w:right w:val="none" w:sz="0" w:space="0" w:color="auto"/>
          </w:divBdr>
        </w:div>
        <w:div w:id="1199662606">
          <w:marLeft w:val="288"/>
          <w:marRight w:val="0"/>
          <w:marTop w:val="240"/>
          <w:marBottom w:val="0"/>
          <w:divBdr>
            <w:top w:val="none" w:sz="0" w:space="0" w:color="auto"/>
            <w:left w:val="none" w:sz="0" w:space="0" w:color="auto"/>
            <w:bottom w:val="none" w:sz="0" w:space="0" w:color="auto"/>
            <w:right w:val="none" w:sz="0" w:space="0" w:color="auto"/>
          </w:divBdr>
        </w:div>
        <w:div w:id="240408859">
          <w:marLeft w:val="288"/>
          <w:marRight w:val="0"/>
          <w:marTop w:val="240"/>
          <w:marBottom w:val="0"/>
          <w:divBdr>
            <w:top w:val="none" w:sz="0" w:space="0" w:color="auto"/>
            <w:left w:val="none" w:sz="0" w:space="0" w:color="auto"/>
            <w:bottom w:val="none" w:sz="0" w:space="0" w:color="auto"/>
            <w:right w:val="none" w:sz="0" w:space="0" w:color="auto"/>
          </w:divBdr>
        </w:div>
        <w:div w:id="68503510">
          <w:marLeft w:val="288"/>
          <w:marRight w:val="0"/>
          <w:marTop w:val="240"/>
          <w:marBottom w:val="0"/>
          <w:divBdr>
            <w:top w:val="none" w:sz="0" w:space="0" w:color="auto"/>
            <w:left w:val="none" w:sz="0" w:space="0" w:color="auto"/>
            <w:bottom w:val="none" w:sz="0" w:space="0" w:color="auto"/>
            <w:right w:val="none" w:sz="0" w:space="0" w:color="auto"/>
          </w:divBdr>
        </w:div>
      </w:divsChild>
    </w:div>
    <w:div w:id="17768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18ACA9F477A4A8CE2CD9F19D93855" ma:contentTypeVersion="14" ma:contentTypeDescription="Create a new document." ma:contentTypeScope="" ma:versionID="dfb6f754c86b1710bd17c61d762d7f3e">
  <xsd:schema xmlns:xsd="http://www.w3.org/2001/XMLSchema" xmlns:xs="http://www.w3.org/2001/XMLSchema" xmlns:p="http://schemas.microsoft.com/office/2006/metadata/properties" xmlns:ns1="http://schemas.microsoft.com/sharepoint/v3" xmlns:ns2="c6c92684-3118-4f63-bca3-44634070ef67" targetNamespace="http://schemas.microsoft.com/office/2006/metadata/properties" ma:root="true" ma:fieldsID="eaa5acac0811cee5765b39a177a5f314" ns1:_="" ns2:_="">
    <xsd:import namespace="http://schemas.microsoft.com/sharepoint/v3"/>
    <xsd:import namespace="c6c92684-3118-4f63-bca3-44634070ef67"/>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c92684-3118-4f63-bca3-44634070ef67"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c6c92684-3118-4f63-bca3-44634070ef67">
      <UserInfo>
        <DisplayName/>
        <AccountId xsi:nil="true"/>
        <AccountType/>
      </UserInfo>
    </PPContentApprover>
    <PPLastReviewedBy xmlns="c6c92684-3118-4f63-bca3-44634070ef67">
      <UserInfo>
        <DisplayName>NAKAGAWA, Haruki</DisplayName>
        <AccountId>90</AccountId>
        <AccountType/>
      </UserInfo>
    </PPLastReviewedBy>
    <PPModeratedBy xmlns="c6c92684-3118-4f63-bca3-44634070ef67">
      <UserInfo>
        <DisplayName>NAKAGAWA, Haruki</DisplayName>
        <AccountId>90</AccountId>
        <AccountType/>
      </UserInfo>
    </PPModeratedBy>
    <PPSubmittedBy xmlns="c6c92684-3118-4f63-bca3-44634070ef67">
      <UserInfo>
        <DisplayName>NAKAGAWA, Haruki</DisplayName>
        <AccountId>90</AccountId>
        <AccountType/>
      </UserInfo>
    </PPSubmittedBy>
    <PPReferenceNumber xmlns="c6c92684-3118-4f63-bca3-44634070ef67" xsi:nil="true"/>
    <PPModeratedDate xmlns="c6c92684-3118-4f63-bca3-44634070ef67">2024-03-28T03:07:08+00:00</PPModeratedDate>
    <PPLastReviewedDate xmlns="c6c92684-3118-4f63-bca3-44634070ef67">2024-03-28T03:07:08+00:00</PPLastReviewedDate>
    <PPContentAuthor xmlns="c6c92684-3118-4f63-bca3-44634070ef67">
      <UserInfo>
        <DisplayName>NAKAGAWA, Haruki</DisplayName>
        <AccountId>90</AccountId>
        <AccountType/>
      </UserInfo>
    </PPContentAuthor>
    <PPContentOwner xmlns="c6c92684-3118-4f63-bca3-44634070ef67">
      <UserInfo>
        <DisplayName>Jacinta WEBB</DisplayName>
        <AccountId>10439</AccountId>
        <AccountType/>
      </UserInfo>
    </PPContentOwner>
    <PPSubmittedDate xmlns="c6c92684-3118-4f63-bca3-44634070ef67">2024-03-28T03:06:04+00:00</PPSubmittedDate>
    <PPPublishedNotificationAddresses xmlns="c6c92684-3118-4f63-bca3-44634070ef67" xsi:nil="true"/>
    <PPReviewDate xmlns="c6c92684-3118-4f63-bca3-44634070ef67">2025-03-27T14:00:00+00:00</PPReview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66085-06A6-47E2-A311-5EA8052D5202}"/>
</file>

<file path=customXml/itemProps2.xml><?xml version="1.0" encoding="utf-8"?>
<ds:datastoreItem xmlns:ds="http://schemas.openxmlformats.org/officeDocument/2006/customXml" ds:itemID="{F2DAE0F8-974D-4E02-9CA6-8D921FDED50C}">
  <ds:schemaRefs>
    <ds:schemaRef ds:uri="http://schemas.microsoft.com/office/2006/metadata/properties"/>
    <ds:schemaRef ds:uri="http://schemas.microsoft.com/office/infopath/2007/PartnerControls"/>
    <ds:schemaRef ds:uri="http://schemas.microsoft.com/sharepoint/v3"/>
    <ds:schemaRef ds:uri="163879fb-622b-44d7-a731-33e3b194bd22"/>
    <ds:schemaRef ds:uri="http://schemas.microsoft.com/sharepoint/v3/fields"/>
  </ds:schemaRefs>
</ds:datastoreItem>
</file>

<file path=customXml/itemProps3.xml><?xml version="1.0" encoding="utf-8"?>
<ds:datastoreItem xmlns:ds="http://schemas.openxmlformats.org/officeDocument/2006/customXml" ds:itemID="{424A2B72-0F21-4E36-8F53-1E711CD376C8}">
  <ds:schemaRefs>
    <ds:schemaRef ds:uri="http://schemas.openxmlformats.org/officeDocument/2006/bibliography"/>
  </ds:schemaRefs>
</ds:datastoreItem>
</file>

<file path=customXml/itemProps4.xml><?xml version="1.0" encoding="utf-8"?>
<ds:datastoreItem xmlns:ds="http://schemas.openxmlformats.org/officeDocument/2006/customXml" ds:itemID="{66D068DE-3C1C-4405-9B72-B73F16F58015}"/>
</file>

<file path=docProps/app.xml><?xml version="1.0" encoding="utf-8"?>
<Properties xmlns="http://schemas.openxmlformats.org/officeDocument/2006/extended-properties" xmlns:vt="http://schemas.openxmlformats.org/officeDocument/2006/docPropsVTypes">
  <Template>Normal.dotm</Template>
  <TotalTime>135</TotalTime>
  <Pages>2</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 strategic plan template 1</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Hambledon State School Endorsed Strategic Plan 2024-2027</dc:title>
  <dc:subject>School strategic plan template 1</dc:subject>
  <dc:creator>Queensland Government</dc:creator>
  <cp:keywords>School strategic plan; template</cp:keywords>
  <dc:description/>
  <cp:lastModifiedBy>BUCKLEY, Finn (fbuck5)</cp:lastModifiedBy>
  <cp:revision>9</cp:revision>
  <cp:lastPrinted>2024-03-22T03:40:00Z</cp:lastPrinted>
  <dcterms:created xsi:type="dcterms:W3CDTF">2024-02-15T09:20:00Z</dcterms:created>
  <dcterms:modified xsi:type="dcterms:W3CDTF">2024-03-22T04:51:00Z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0x0101003E218ACA9F477A4A8CE2CD9F19D93855</vt:lpwstr>
  </property>
</Properties>
</file>